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B61245">
      <w:pPr>
        <w:spacing w:after="0"/>
        <w:rPr>
          <w:b/>
          <w:sz w:val="28"/>
        </w:rPr>
        <w:sectPr w:rsidR="00DC7DA9" w:rsidSect="00DC7DA9">
          <w:pgSz w:w="11906" w:h="16838"/>
          <w:pgMar w:top="0" w:right="0" w:bottom="0" w:left="0" w:header="709" w:footer="709" w:gutter="0"/>
          <w:cols w:space="708"/>
          <w:docGrid w:linePitch="360"/>
        </w:sectPr>
      </w:pPr>
      <w:bookmarkStart w:id="0" w:name="_GoBack"/>
      <w:bookmarkEnd w:id="0"/>
      <w:r>
        <w:rPr>
          <w:b/>
          <w:noProof/>
          <w:sz w:val="28"/>
          <w:lang w:eastAsia="en-AU"/>
        </w:rPr>
        <w:drawing>
          <wp:inline distT="0" distB="0" distL="0" distR="0">
            <wp:extent cx="7560310" cy="10687050"/>
            <wp:effectExtent l="0" t="0" r="2540" b="0"/>
            <wp:docPr id="2" name="Picture 2" title="Front cover State Transit Quarterly Performance Information July - Sept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I2014-4.png"/>
                    <pic:cNvPicPr/>
                  </pic:nvPicPr>
                  <pic:blipFill>
                    <a:blip r:embed="rId9">
                      <a:extLst>
                        <a:ext uri="{28A0092B-C50C-407E-A947-70E740481C1C}">
                          <a14:useLocalDpi xmlns:a14="http://schemas.microsoft.com/office/drawing/2010/main" val="0"/>
                        </a:ext>
                      </a:extLst>
                    </a:blip>
                    <a:stretch>
                      <a:fillRect/>
                    </a:stretch>
                  </pic:blipFill>
                  <pic:spPr>
                    <a:xfrm>
                      <a:off x="0" y="0"/>
                      <a:ext cx="7560310" cy="10687050"/>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The Quarterly Report is intended as a snapshot of our recent performance, providing a focus on key performance areas.  The report provides updates for the recent quarterly period, and comparisons to the previous quarter, and for the same period fo</w:t>
      </w:r>
      <w:r w:rsidR="00EA5C74">
        <w:rPr>
          <w:bCs/>
          <w:szCs w:val="24"/>
        </w:rPr>
        <w:t>r the previous year.</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of buses starting their trip within 1 minute before and 5 minutes 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B61245">
            <w:pPr>
              <w:pStyle w:val="Table-Normal"/>
              <w:rPr>
                <w:b/>
              </w:rPr>
            </w:pPr>
            <w:r w:rsidRPr="004648C9">
              <w:rPr>
                <w:b/>
              </w:rPr>
              <w:t>Reliability</w:t>
            </w:r>
          </w:p>
        </w:tc>
        <w:tc>
          <w:tcPr>
            <w:tcW w:w="5763" w:type="dxa"/>
          </w:tcPr>
          <w:p w:rsidR="00085133" w:rsidRPr="00C90CE6" w:rsidRDefault="00085133" w:rsidP="00B61245">
            <w:pPr>
              <w:pStyle w:val="Table-Normal"/>
              <w:spacing w:after="240"/>
            </w:pPr>
            <w:r w:rsidRPr="00C90CE6">
              <w:t>% of timetable trips commenced their route</w:t>
            </w:r>
          </w:p>
        </w:tc>
        <w:tc>
          <w:tcPr>
            <w:tcW w:w="1272" w:type="dxa"/>
          </w:tcPr>
          <w:p w:rsidR="00085133" w:rsidRPr="009F7FEE" w:rsidRDefault="00810EE2"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810EE2"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810EE2"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810EE2"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810EE2" w:rsidP="003C4E5A">
            <w:pPr>
              <w:pStyle w:val="Table-Normal"/>
            </w:pPr>
            <w:hyperlink w:anchor="_Drug_and_Alcohol_1" w:history="1">
              <w:r w:rsidR="00085133" w:rsidRPr="009F7FEE">
                <w:rPr>
                  <w:rStyle w:val="Hyperlink"/>
                  <w:color w:val="auto"/>
                  <w:u w:val="none"/>
                </w:rPr>
                <w:t>Page 1</w:t>
              </w:r>
            </w:hyperlink>
            <w:r w:rsidR="003C4E5A">
              <w:rPr>
                <w:rStyle w:val="Hyperlink"/>
                <w:color w:val="auto"/>
                <w:u w:val="none"/>
              </w:rPr>
              <w:t>1</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r w:rsidRPr="004648C9">
        <w:t>Provides services for the regional centres of Lidcombe, Strathfield, Burwood, Five Dock, Ashfield, Marrickville, Kogarah, Leichhardt, Newtown, Balmain, Glebe, Pyrmont and the CBD.</w:t>
      </w:r>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r w:rsidRPr="00C90CE6">
        <w:t>Provides services for the regional centres of Crows Nest, Chatswood, Ryde, Epping, Macquarie Park, Eastwood and Artarmon.</w:t>
      </w:r>
    </w:p>
    <w:p w:rsidR="00C90CE6" w:rsidRPr="004648C9" w:rsidRDefault="00164FC8" w:rsidP="0082221C">
      <w:pPr>
        <w:pStyle w:val="StyleListParagraphBold"/>
        <w:spacing w:after="0"/>
      </w:pPr>
      <w:r w:rsidRPr="004648C9">
        <w:lastRenderedPageBreak/>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r w:rsidRPr="00C90CE6">
        <w:t>Provides services for the regional centres of North Sydney, Neutral Bay, Mosman, Manly, Dee Why, Brookvale, Mona Vale and Palm Beach.</w:t>
      </w:r>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r w:rsidRPr="00C90CE6">
        <w:t>Provides services for the regional centres of Kings Cross, Paddington, the Airport, Botany, Maroubra, Coogee, Bondi Beach, Bondi Junction, Randwick, Double Bay and Redfern.</w:t>
      </w:r>
    </w:p>
    <w:p w:rsidR="00164FC8" w:rsidRPr="004648C9" w:rsidRDefault="00164FC8" w:rsidP="004648C9">
      <w:pPr>
        <w:pStyle w:val="StyleListParagraphBold"/>
      </w:pPr>
      <w:r w:rsidRPr="00C90CE6">
        <w:t>O</w:t>
      </w:r>
      <w:r w:rsidR="002728FF">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6D46D4F7" wp14:editId="5164FF9D">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Pr="00C90CE6" w:rsidRDefault="0045036E" w:rsidP="004E03C5">
      <w:pPr>
        <w:rPr>
          <w:szCs w:val="24"/>
        </w:rPr>
      </w:pPr>
      <w:r w:rsidRPr="00C90CE6">
        <w:rPr>
          <w:szCs w:val="24"/>
        </w:rPr>
        <w:t xml:space="preserve">During the </w:t>
      </w:r>
      <w:r w:rsidR="00B61245">
        <w:rPr>
          <w:szCs w:val="24"/>
        </w:rPr>
        <w:t>September</w:t>
      </w:r>
      <w:r w:rsidR="008449EF">
        <w:rPr>
          <w:szCs w:val="24"/>
        </w:rPr>
        <w:t xml:space="preserve"> quarter, 2014</w:t>
      </w:r>
      <w:r w:rsidRPr="00C90CE6">
        <w:rPr>
          <w:szCs w:val="24"/>
        </w:rPr>
        <w:t>:</w:t>
      </w:r>
    </w:p>
    <w:p w:rsidR="00926014" w:rsidRPr="003C4E5A" w:rsidRDefault="003C4E5A" w:rsidP="00BB2214">
      <w:pPr>
        <w:pStyle w:val="ListParagraph"/>
        <w:numPr>
          <w:ilvl w:val="0"/>
          <w:numId w:val="7"/>
        </w:numPr>
        <w:rPr>
          <w:rFonts w:cs="Arial"/>
        </w:rPr>
      </w:pPr>
      <w:r w:rsidRPr="003C4E5A">
        <w:rPr>
          <w:rFonts w:cs="Arial"/>
        </w:rPr>
        <w:t>46.824</w:t>
      </w:r>
      <w:r w:rsidR="00D02BB7" w:rsidRPr="003C4E5A">
        <w:rPr>
          <w:rFonts w:cs="Arial"/>
        </w:rPr>
        <w:t xml:space="preserve"> </w:t>
      </w:r>
      <w:r w:rsidR="00926014" w:rsidRPr="003C4E5A">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B61245">
        <w:rPr>
          <w:rFonts w:cs="Arial"/>
        </w:rPr>
        <w:t xml:space="preserve">ransit fleet consisted of 2,159 </w:t>
      </w:r>
      <w:r w:rsidRPr="00C90CE6">
        <w:rPr>
          <w:rFonts w:cs="Arial"/>
        </w:rPr>
        <w:t>buses;</w:t>
      </w:r>
    </w:p>
    <w:p w:rsidR="00926014" w:rsidRPr="00C90CE6" w:rsidRDefault="00B61245" w:rsidP="00BB2214">
      <w:pPr>
        <w:pStyle w:val="ListParagraph"/>
        <w:numPr>
          <w:ilvl w:val="0"/>
          <w:numId w:val="7"/>
        </w:numPr>
        <w:rPr>
          <w:rFonts w:cs="Arial"/>
        </w:rPr>
      </w:pPr>
      <w:r>
        <w:rPr>
          <w:rFonts w:cs="Arial"/>
        </w:rPr>
        <w:t>More than 1.32</w:t>
      </w:r>
      <w:r w:rsidR="00926014" w:rsidRPr="00C90CE6">
        <w:rPr>
          <w:rFonts w:cs="Arial"/>
        </w:rPr>
        <w:t xml:space="preserve"> million Sydney Buses services operated during the </w:t>
      </w:r>
      <w:r>
        <w:rPr>
          <w:rFonts w:cs="Arial"/>
        </w:rPr>
        <w:t>September</w:t>
      </w:r>
      <w:r w:rsidR="00085133">
        <w:rPr>
          <w:rFonts w:cs="Arial"/>
        </w:rPr>
        <w:t xml:space="preserve"> quarter and more than 8</w:t>
      </w:r>
      <w:r>
        <w:rPr>
          <w:rFonts w:cs="Arial"/>
        </w:rPr>
        <w:t>3</w:t>
      </w:r>
      <w:r w:rsidR="008449EF">
        <w:rPr>
          <w:rFonts w:cs="Arial"/>
        </w:rPr>
        <w:t>,000</w:t>
      </w:r>
      <w:r w:rsidR="00926014" w:rsidRPr="00C90CE6">
        <w:rPr>
          <w:rFonts w:cs="Arial"/>
        </w:rPr>
        <w:t xml:space="preserve"> Newcastle Buses services operated over the same period;</w:t>
      </w:r>
    </w:p>
    <w:p w:rsidR="00926014" w:rsidRPr="003C4E5A" w:rsidRDefault="00926014" w:rsidP="00BB2214">
      <w:pPr>
        <w:pStyle w:val="ListParagraph"/>
        <w:numPr>
          <w:ilvl w:val="0"/>
          <w:numId w:val="7"/>
        </w:numPr>
        <w:rPr>
          <w:rFonts w:cs="Arial"/>
        </w:rPr>
      </w:pPr>
      <w:r w:rsidRPr="003C4E5A">
        <w:rPr>
          <w:rFonts w:cs="Arial"/>
        </w:rPr>
        <w:t>The rate of mechanical bre</w:t>
      </w:r>
      <w:r w:rsidR="003C4E5A" w:rsidRPr="003C4E5A">
        <w:rPr>
          <w:rFonts w:cs="Arial"/>
        </w:rPr>
        <w:t>akdowns for Sydney Buses was 9.9</w:t>
      </w:r>
      <w:r w:rsidR="008449EF" w:rsidRPr="003C4E5A">
        <w:rPr>
          <w:rFonts w:cs="Arial"/>
        </w:rPr>
        <w:t xml:space="preserve"> </w:t>
      </w:r>
      <w:r w:rsidRPr="003C4E5A">
        <w:rPr>
          <w:rFonts w:cs="Arial"/>
        </w:rPr>
        <w:t>per 100,000kms; and</w:t>
      </w:r>
    </w:p>
    <w:p w:rsidR="00926014" w:rsidRPr="00C90CE6" w:rsidRDefault="00B111A9" w:rsidP="00BB2214">
      <w:pPr>
        <w:pStyle w:val="ListParagraph"/>
        <w:numPr>
          <w:ilvl w:val="0"/>
          <w:numId w:val="7"/>
        </w:numPr>
        <w:rPr>
          <w:rFonts w:cs="Arial"/>
        </w:rPr>
      </w:pPr>
      <w:r>
        <w:rPr>
          <w:rFonts w:cs="Arial"/>
        </w:rPr>
        <w:t xml:space="preserve">State Transit conducted 603 breath tests and 127 </w:t>
      </w:r>
      <w:r w:rsidR="00926014" w:rsidRPr="00C90CE6">
        <w:rPr>
          <w:rFonts w:cs="Arial"/>
        </w:rPr>
        <w:t>drug tests across its staff.</w:t>
      </w:r>
    </w:p>
    <w:p w:rsidR="00926014" w:rsidRPr="00C90CE6" w:rsidRDefault="00926014" w:rsidP="00926014">
      <w:r w:rsidRPr="00C90CE6">
        <w:t>Compared to the same quarter last year (</w:t>
      </w:r>
      <w:r w:rsidR="00B111A9">
        <w:t>September</w:t>
      </w:r>
      <w:r w:rsidR="008449EF">
        <w:t xml:space="preserve"> quarter, 2013</w:t>
      </w:r>
      <w:r w:rsidRPr="00C90CE6">
        <w:t>):</w:t>
      </w:r>
    </w:p>
    <w:p w:rsidR="00926014" w:rsidRPr="00E55C5F" w:rsidRDefault="00926014" w:rsidP="00BB2214">
      <w:pPr>
        <w:pStyle w:val="ListParagraph"/>
        <w:rPr>
          <w:rFonts w:cs="Arial"/>
        </w:rPr>
      </w:pPr>
      <w:r w:rsidRPr="00E55C5F">
        <w:rPr>
          <w:rFonts w:cs="Arial"/>
        </w:rPr>
        <w:t xml:space="preserve">Combined patronage on Sydney Buses and Newcastle Buses and Ferries services </w:t>
      </w:r>
      <w:r w:rsidR="003C4E5A" w:rsidRPr="00E55C5F">
        <w:rPr>
          <w:rFonts w:cs="Arial"/>
        </w:rPr>
        <w:t>decreased by 2.46 per cent: 46.824</w:t>
      </w:r>
      <w:r w:rsidR="001F4498" w:rsidRPr="00E55C5F">
        <w:rPr>
          <w:rFonts w:cs="Arial"/>
        </w:rPr>
        <w:t xml:space="preserve"> million (</w:t>
      </w:r>
      <w:r w:rsidR="003C4E5A" w:rsidRPr="00E55C5F">
        <w:rPr>
          <w:rFonts w:cs="Arial"/>
        </w:rPr>
        <w:t>Sept</w:t>
      </w:r>
      <w:r w:rsidR="00E55C5F" w:rsidRPr="00E55C5F">
        <w:rPr>
          <w:rFonts w:cs="Arial"/>
        </w:rPr>
        <w:t xml:space="preserve"> quarter, 2014) v 48.005 million (Sept </w:t>
      </w:r>
      <w:r w:rsidR="00110BBC" w:rsidRPr="00E55C5F">
        <w:rPr>
          <w:rFonts w:cs="Arial"/>
        </w:rPr>
        <w:t>quarter, 2013</w:t>
      </w:r>
      <w:r w:rsidR="001F4498" w:rsidRPr="00E55C5F">
        <w:rPr>
          <w:rFonts w:cs="Arial"/>
        </w:rPr>
        <w:t>)</w:t>
      </w:r>
      <w:r w:rsidR="00110BBC" w:rsidRPr="00E55C5F">
        <w:rPr>
          <w:rFonts w:cs="Arial"/>
        </w:rPr>
        <w:t>.</w:t>
      </w:r>
    </w:p>
    <w:p w:rsidR="0045036E" w:rsidRPr="00C90CE6" w:rsidRDefault="001F4498" w:rsidP="00BB2214">
      <w:pPr>
        <w:pStyle w:val="ListParagraph"/>
        <w:rPr>
          <w:rFonts w:cs="Arial"/>
        </w:rPr>
      </w:pPr>
      <w:r w:rsidRPr="00C90CE6">
        <w:rPr>
          <w:rFonts w:cs="Arial"/>
        </w:rPr>
        <w:t>State Transit increased the number of wheelchair-accessible bu</w:t>
      </w:r>
      <w:r w:rsidR="00B111A9">
        <w:rPr>
          <w:rFonts w:cs="Arial"/>
        </w:rPr>
        <w:t>ses in its fleet to 1,792 (83 per cent of the fleet v 79.5</w:t>
      </w:r>
      <w:r w:rsidR="000F4613" w:rsidRPr="00C90CE6">
        <w:rPr>
          <w:rFonts w:cs="Arial"/>
        </w:rPr>
        <w:t xml:space="preserve"> per cent</w:t>
      </w:r>
      <w:r w:rsidR="00B111A9">
        <w:rPr>
          <w:rFonts w:cs="Arial"/>
        </w:rPr>
        <w:t xml:space="preserve"> in the September</w:t>
      </w:r>
      <w:r w:rsidR="00110BBC">
        <w:rPr>
          <w:rFonts w:cs="Arial"/>
        </w:rPr>
        <w:t xml:space="preserve"> quarter, 2013</w:t>
      </w:r>
      <w:r w:rsidRPr="00C90CE6">
        <w:rPr>
          <w:rFonts w:cs="Arial"/>
        </w:rPr>
        <w:t>)</w:t>
      </w:r>
      <w:r w:rsidR="00110BBC">
        <w:rPr>
          <w:rFonts w:cs="Arial"/>
        </w:rPr>
        <w:t>.</w:t>
      </w:r>
    </w:p>
    <w:p w:rsidR="001F4498" w:rsidRPr="00C90CE6" w:rsidRDefault="001F4498" w:rsidP="00BB2214">
      <w:pPr>
        <w:pStyle w:val="ListParagraph"/>
        <w:rPr>
          <w:rFonts w:cs="Arial"/>
        </w:rPr>
      </w:pPr>
      <w:r w:rsidRPr="00C90CE6">
        <w:rPr>
          <w:rFonts w:cs="Arial"/>
        </w:rPr>
        <w:t>State Transit increased the number of air-conditi</w:t>
      </w:r>
      <w:r w:rsidR="00B111A9">
        <w:rPr>
          <w:rFonts w:cs="Arial"/>
        </w:rPr>
        <w:t>oned buses in its fleet to 2,045 (94.7</w:t>
      </w:r>
      <w:r w:rsidR="00085133">
        <w:rPr>
          <w:rFonts w:cs="Arial"/>
        </w:rPr>
        <w:t xml:space="preserve"> per cent of the fleet v 91</w:t>
      </w:r>
      <w:r w:rsidR="00B111A9">
        <w:rPr>
          <w:rFonts w:cs="Arial"/>
        </w:rPr>
        <w:t>.2</w:t>
      </w:r>
      <w:r w:rsidR="000F4613" w:rsidRPr="00C90CE6">
        <w:rPr>
          <w:rFonts w:cs="Arial"/>
        </w:rPr>
        <w:t xml:space="preserve"> per cent in </w:t>
      </w:r>
      <w:r w:rsidR="00B111A9">
        <w:rPr>
          <w:rFonts w:cs="Arial"/>
        </w:rPr>
        <w:t>the September</w:t>
      </w:r>
      <w:r w:rsidR="00110BBC">
        <w:rPr>
          <w:rFonts w:cs="Arial"/>
        </w:rPr>
        <w:t xml:space="preserve"> quarter, 2013</w:t>
      </w:r>
      <w:r w:rsidR="000F4613" w:rsidRPr="00C90CE6">
        <w:rPr>
          <w:rFonts w:cs="Arial"/>
        </w:rPr>
        <w:t>)</w:t>
      </w:r>
      <w:r w:rsidR="00110BBC">
        <w:rPr>
          <w:rFonts w:cs="Arial"/>
        </w:rPr>
        <w:t>.</w:t>
      </w:r>
    </w:p>
    <w:p w:rsidR="00317DE0" w:rsidRPr="00C90CE6" w:rsidRDefault="00317DE0" w:rsidP="00BB2214">
      <w:pPr>
        <w:pStyle w:val="ListParagraph"/>
        <w:rPr>
          <w:rFonts w:cs="Arial"/>
        </w:rPr>
      </w:pPr>
      <w:r w:rsidRPr="00C90CE6">
        <w:rPr>
          <w:rFonts w:cs="Arial"/>
        </w:rPr>
        <w:t>State Trans</w:t>
      </w:r>
      <w:r w:rsidR="00436CC7">
        <w:rPr>
          <w:rFonts w:cs="Arial"/>
        </w:rPr>
        <w:t>it’s average fleet age was 10.04</w:t>
      </w:r>
      <w:r w:rsidR="00085133">
        <w:rPr>
          <w:rFonts w:cs="Arial"/>
        </w:rPr>
        <w:t xml:space="preserve"> </w:t>
      </w:r>
      <w:r w:rsidRPr="00C90CE6">
        <w:rPr>
          <w:rFonts w:cs="Arial"/>
        </w:rPr>
        <w:t xml:space="preserve">years, well below the average </w:t>
      </w:r>
      <w:r w:rsidR="00D1412F" w:rsidRPr="00C90CE6">
        <w:rPr>
          <w:rFonts w:cs="Arial"/>
        </w:rPr>
        <w:t xml:space="preserve">age </w:t>
      </w:r>
      <w:r w:rsidRPr="00C90CE6">
        <w:rPr>
          <w:rFonts w:cs="Arial"/>
        </w:rPr>
        <w:t xml:space="preserve">of 12 </w:t>
      </w:r>
      <w:r w:rsidR="00D1412F" w:rsidRPr="00C90CE6">
        <w:rPr>
          <w:rFonts w:cs="Arial"/>
        </w:rPr>
        <w:t xml:space="preserve">years </w:t>
      </w:r>
      <w:r w:rsidRPr="00C90CE6">
        <w:rPr>
          <w:rFonts w:cs="Arial"/>
        </w:rPr>
        <w:t>required under its co</w:t>
      </w:r>
      <w:r w:rsidR="00EA5C74">
        <w:rPr>
          <w:rFonts w:cs="Arial"/>
        </w:rPr>
        <w:t>ntracts with Transport for NSW.</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B111A9">
        <w:rPr>
          <w:rFonts w:cs="Arial"/>
        </w:rPr>
        <w:t>the September</w:t>
      </w:r>
      <w:r w:rsidR="00085133">
        <w:rPr>
          <w:rFonts w:cs="Arial"/>
        </w:rPr>
        <w:t xml:space="preserve"> </w:t>
      </w:r>
      <w:r w:rsidR="00B111A9">
        <w:rPr>
          <w:rFonts w:cs="Arial"/>
        </w:rPr>
        <w:t>quarter was 99.71</w:t>
      </w:r>
      <w:r w:rsidR="00110BBC">
        <w:rPr>
          <w:rFonts w:cs="Arial"/>
        </w:rPr>
        <w:t xml:space="preserve"> </w:t>
      </w:r>
      <w:r w:rsidR="00317DE0" w:rsidRPr="00C90CE6">
        <w:rPr>
          <w:rFonts w:cs="Arial"/>
        </w:rPr>
        <w:t xml:space="preserve">per cent, </w:t>
      </w:r>
      <w:r w:rsidR="00110BBC">
        <w:rPr>
          <w:rFonts w:cs="Arial"/>
        </w:rPr>
        <w:t>with Newcastle Buses and Fe</w:t>
      </w:r>
      <w:r w:rsidR="00B111A9">
        <w:rPr>
          <w:rFonts w:cs="Arial"/>
        </w:rPr>
        <w:t xml:space="preserve">rries average reliability 99.94 </w:t>
      </w:r>
      <w:r w:rsidR="00110BBC">
        <w:rPr>
          <w:rFonts w:cs="Arial"/>
        </w:rPr>
        <w:t xml:space="preserve">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9E4D30" w:rsidRPr="00E55C5F" w:rsidRDefault="000F4613" w:rsidP="00BB2214">
      <w:pPr>
        <w:pStyle w:val="ListParagraph"/>
        <w:rPr>
          <w:rFonts w:cs="Arial"/>
        </w:rPr>
      </w:pPr>
      <w:r w:rsidRPr="00E55C5F">
        <w:rPr>
          <w:rFonts w:cs="Arial"/>
        </w:rPr>
        <w:t>The rate of mechanical</w:t>
      </w:r>
      <w:r w:rsidR="00D1412F" w:rsidRPr="00E55C5F">
        <w:rPr>
          <w:rFonts w:cs="Arial"/>
        </w:rPr>
        <w:t xml:space="preserve"> changeovers</w:t>
      </w:r>
      <w:r w:rsidR="00110BBC" w:rsidRPr="00E55C5F">
        <w:rPr>
          <w:rFonts w:cs="Arial"/>
        </w:rPr>
        <w:t xml:space="preserve"> for Sydney B</w:t>
      </w:r>
      <w:r w:rsidR="00E55C5F" w:rsidRPr="00E55C5F">
        <w:rPr>
          <w:rFonts w:cs="Arial"/>
        </w:rPr>
        <w:t>uses services decreased from 11.0 to 9.9.</w:t>
      </w:r>
    </w:p>
    <w:p w:rsidR="009E4D30" w:rsidRPr="00C90CE6" w:rsidRDefault="009E4D30">
      <w:pPr>
        <w:rPr>
          <w:b/>
          <w:sz w:val="28"/>
        </w:rPr>
      </w:pPr>
      <w:r w:rsidRPr="00C90CE6">
        <w:br w:type="page"/>
      </w:r>
    </w:p>
    <w:p w:rsidR="0056256E" w:rsidRPr="00C90CE6" w:rsidRDefault="0056256E" w:rsidP="00E723DB">
      <w:pPr>
        <w:pStyle w:val="Heading1"/>
      </w:pPr>
      <w:bookmarkStart w:id="1" w:name="_On-time_Running"/>
      <w:bookmarkEnd w:id="1"/>
      <w:r w:rsidRPr="00C90CE6">
        <w:lastRenderedPageBreak/>
        <w:t>On-time Running</w:t>
      </w:r>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EA5C74">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EA5C74">
        <w:t>.</w:t>
      </w:r>
    </w:p>
    <w:p w:rsidR="005D5271" w:rsidRPr="00C90CE6" w:rsidRDefault="005D5271" w:rsidP="009E4D30">
      <w:r w:rsidRPr="00C90CE6">
        <w:t xml:space="preserve">The program focuses </w:t>
      </w:r>
      <w:r w:rsidR="00DD70EA" w:rsidRPr="00C90CE6">
        <w:t xml:space="preserve">on a number of factors </w:t>
      </w:r>
      <w:r w:rsidR="00C72B03" w:rsidRPr="00C90CE6">
        <w:t xml:space="preserve">within State Transit’s control, that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affect the reliable performance of bus services including traffic accidents, special events, wet weather conditions and road works.  Bus services are also delayed by motorists who park in bus stops,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not an accurate representation of State Transit’</w:t>
      </w:r>
      <w:r w:rsidR="00C72B03" w:rsidRPr="00C90CE6">
        <w:rPr>
          <w:szCs w:val="24"/>
          <w:lang w:val="en-US"/>
        </w:rPr>
        <w:t>s on-time 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E55C5F" w:rsidRDefault="003D0617" w:rsidP="003D0617">
      <w:pPr>
        <w:pStyle w:val="Table-name"/>
        <w:rPr>
          <w:lang w:val="en-US"/>
        </w:rPr>
      </w:pPr>
      <w:r w:rsidRPr="00E55C5F">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E55C5F" w:rsidTr="007F27D7">
        <w:trPr>
          <w:trHeight w:hRule="exact" w:val="397"/>
          <w:tblHeader/>
        </w:trPr>
        <w:tc>
          <w:tcPr>
            <w:tcW w:w="2400" w:type="dxa"/>
            <w:noWrap/>
          </w:tcPr>
          <w:p w:rsidR="003973C9" w:rsidRPr="00E55C5F" w:rsidRDefault="003973C9" w:rsidP="00C90CE6">
            <w:pPr>
              <w:pStyle w:val="Table-Normal"/>
              <w:rPr>
                <w:sz w:val="22"/>
                <w:szCs w:val="22"/>
                <w:lang w:eastAsia="en-AU"/>
              </w:rPr>
            </w:pPr>
            <w:bookmarkStart w:id="2" w:name="Title_ontime_running"/>
            <w:bookmarkEnd w:id="2"/>
          </w:p>
        </w:tc>
        <w:tc>
          <w:tcPr>
            <w:tcW w:w="2520" w:type="dxa"/>
            <w:noWrap/>
          </w:tcPr>
          <w:p w:rsidR="003973C9" w:rsidRPr="00E55C5F" w:rsidRDefault="00E55C5F" w:rsidP="00C90CE6">
            <w:pPr>
              <w:pStyle w:val="Table-Normal"/>
              <w:jc w:val="center"/>
              <w:rPr>
                <w:b/>
                <w:sz w:val="22"/>
                <w:szCs w:val="22"/>
                <w:lang w:eastAsia="en-AU"/>
              </w:rPr>
            </w:pPr>
            <w:r w:rsidRPr="00E55C5F">
              <w:rPr>
                <w:b/>
                <w:sz w:val="22"/>
                <w:szCs w:val="22"/>
                <w:lang w:eastAsia="en-AU"/>
              </w:rPr>
              <w:t xml:space="preserve">July </w:t>
            </w:r>
            <w:r w:rsidR="00110BBC" w:rsidRPr="00E55C5F">
              <w:rPr>
                <w:b/>
                <w:sz w:val="22"/>
                <w:szCs w:val="22"/>
                <w:lang w:eastAsia="en-AU"/>
              </w:rPr>
              <w:t>2014</w:t>
            </w:r>
          </w:p>
        </w:tc>
        <w:tc>
          <w:tcPr>
            <w:tcW w:w="2640" w:type="dxa"/>
          </w:tcPr>
          <w:p w:rsidR="003973C9" w:rsidRPr="00E55C5F" w:rsidRDefault="00E55C5F" w:rsidP="00C90CE6">
            <w:pPr>
              <w:pStyle w:val="Table-Normal"/>
              <w:jc w:val="center"/>
              <w:rPr>
                <w:b/>
                <w:sz w:val="22"/>
                <w:szCs w:val="22"/>
                <w:lang w:eastAsia="en-AU"/>
              </w:rPr>
            </w:pPr>
            <w:r w:rsidRPr="00E55C5F">
              <w:rPr>
                <w:b/>
                <w:sz w:val="22"/>
                <w:szCs w:val="22"/>
                <w:lang w:eastAsia="en-AU"/>
              </w:rPr>
              <w:t>Aug</w:t>
            </w:r>
            <w:r w:rsidR="00110BBC" w:rsidRPr="00E55C5F">
              <w:rPr>
                <w:b/>
                <w:sz w:val="22"/>
                <w:szCs w:val="22"/>
                <w:lang w:eastAsia="en-AU"/>
              </w:rPr>
              <w:t xml:space="preserve"> 2014</w:t>
            </w:r>
          </w:p>
        </w:tc>
        <w:tc>
          <w:tcPr>
            <w:tcW w:w="2640" w:type="dxa"/>
          </w:tcPr>
          <w:p w:rsidR="003973C9" w:rsidRPr="00E55C5F" w:rsidRDefault="00E55C5F" w:rsidP="00C90CE6">
            <w:pPr>
              <w:pStyle w:val="Table-Normal"/>
              <w:jc w:val="center"/>
              <w:rPr>
                <w:b/>
                <w:sz w:val="22"/>
                <w:szCs w:val="22"/>
                <w:lang w:eastAsia="en-AU"/>
              </w:rPr>
            </w:pPr>
            <w:r w:rsidRPr="00E55C5F">
              <w:rPr>
                <w:b/>
                <w:sz w:val="22"/>
                <w:szCs w:val="22"/>
                <w:lang w:eastAsia="en-AU"/>
              </w:rPr>
              <w:t>Sept</w:t>
            </w:r>
            <w:r w:rsidR="00110BBC" w:rsidRPr="00E55C5F">
              <w:rPr>
                <w:b/>
                <w:sz w:val="22"/>
                <w:szCs w:val="22"/>
                <w:lang w:eastAsia="en-AU"/>
              </w:rPr>
              <w:t xml:space="preserve"> 2014</w:t>
            </w:r>
          </w:p>
        </w:tc>
      </w:tr>
      <w:tr w:rsidR="00911E75" w:rsidRPr="00E55C5F" w:rsidTr="007F27D7">
        <w:trPr>
          <w:trHeight w:hRule="exact" w:val="397"/>
        </w:trPr>
        <w:tc>
          <w:tcPr>
            <w:tcW w:w="2400" w:type="dxa"/>
            <w:noWrap/>
          </w:tcPr>
          <w:p w:rsidR="00911E75" w:rsidRPr="00E55C5F" w:rsidRDefault="00911E75" w:rsidP="00C90CE6">
            <w:pPr>
              <w:pStyle w:val="Table-Normal"/>
              <w:rPr>
                <w:sz w:val="22"/>
                <w:szCs w:val="22"/>
                <w:lang w:eastAsia="en-AU"/>
              </w:rPr>
            </w:pPr>
            <w:r w:rsidRPr="00E55C5F">
              <w:rPr>
                <w:b/>
                <w:bCs/>
                <w:sz w:val="22"/>
                <w:szCs w:val="22"/>
                <w:lang w:eastAsia="en-AU"/>
              </w:rPr>
              <w:t>Region 6</w:t>
            </w:r>
          </w:p>
        </w:tc>
        <w:tc>
          <w:tcPr>
            <w:tcW w:w="2520" w:type="dxa"/>
            <w:noWrap/>
          </w:tcPr>
          <w:p w:rsidR="00911E75" w:rsidRPr="00E55C5F" w:rsidRDefault="00E55C5F" w:rsidP="00911E75">
            <w:pPr>
              <w:jc w:val="center"/>
            </w:pPr>
            <w:r w:rsidRPr="00E55C5F">
              <w:t>96.5</w:t>
            </w:r>
            <w:r w:rsidR="00911E75" w:rsidRPr="00E55C5F">
              <w:t>%</w:t>
            </w:r>
          </w:p>
        </w:tc>
        <w:tc>
          <w:tcPr>
            <w:tcW w:w="2640" w:type="dxa"/>
          </w:tcPr>
          <w:p w:rsidR="00911E75" w:rsidRPr="00E55C5F" w:rsidRDefault="00E55C5F" w:rsidP="00911E75">
            <w:pPr>
              <w:jc w:val="center"/>
            </w:pPr>
            <w:r w:rsidRPr="00E55C5F">
              <w:t>94.93</w:t>
            </w:r>
            <w:r w:rsidR="00911E75" w:rsidRPr="00E55C5F">
              <w:t>%</w:t>
            </w:r>
          </w:p>
        </w:tc>
        <w:tc>
          <w:tcPr>
            <w:tcW w:w="2640" w:type="dxa"/>
            <w:noWrap/>
          </w:tcPr>
          <w:p w:rsidR="00911E75" w:rsidRPr="00E55C5F" w:rsidRDefault="00E55C5F" w:rsidP="00911E75">
            <w:pPr>
              <w:jc w:val="center"/>
            </w:pPr>
            <w:r w:rsidRPr="00E55C5F">
              <w:t>95.39</w:t>
            </w:r>
            <w:r w:rsidR="00911E75" w:rsidRPr="00E55C5F">
              <w:t>%</w:t>
            </w:r>
          </w:p>
        </w:tc>
      </w:tr>
      <w:tr w:rsidR="00911E75" w:rsidRPr="00E55C5F" w:rsidTr="007F27D7">
        <w:trPr>
          <w:trHeight w:hRule="exact" w:val="397"/>
        </w:trPr>
        <w:tc>
          <w:tcPr>
            <w:tcW w:w="2400" w:type="dxa"/>
            <w:noWrap/>
          </w:tcPr>
          <w:p w:rsidR="00911E75" w:rsidRPr="00E55C5F" w:rsidRDefault="00911E75" w:rsidP="00C90CE6">
            <w:pPr>
              <w:pStyle w:val="Table-Normal"/>
              <w:rPr>
                <w:b/>
                <w:bCs/>
                <w:sz w:val="22"/>
                <w:szCs w:val="22"/>
                <w:lang w:eastAsia="en-AU"/>
              </w:rPr>
            </w:pPr>
            <w:r w:rsidRPr="00E55C5F">
              <w:rPr>
                <w:b/>
                <w:bCs/>
                <w:sz w:val="22"/>
                <w:szCs w:val="22"/>
                <w:lang w:eastAsia="en-AU"/>
              </w:rPr>
              <w:t>Region 7</w:t>
            </w:r>
          </w:p>
        </w:tc>
        <w:tc>
          <w:tcPr>
            <w:tcW w:w="2520" w:type="dxa"/>
            <w:noWrap/>
          </w:tcPr>
          <w:p w:rsidR="00911E75" w:rsidRPr="00E55C5F" w:rsidRDefault="00E55C5F" w:rsidP="00911E75">
            <w:pPr>
              <w:jc w:val="center"/>
            </w:pPr>
            <w:r w:rsidRPr="00E55C5F">
              <w:t>97.69</w:t>
            </w:r>
            <w:r w:rsidR="00911E75" w:rsidRPr="00E55C5F">
              <w:t>%</w:t>
            </w:r>
          </w:p>
        </w:tc>
        <w:tc>
          <w:tcPr>
            <w:tcW w:w="2640" w:type="dxa"/>
          </w:tcPr>
          <w:p w:rsidR="00911E75" w:rsidRPr="00E55C5F" w:rsidRDefault="00E55C5F" w:rsidP="00911E75">
            <w:pPr>
              <w:jc w:val="center"/>
            </w:pPr>
            <w:r w:rsidRPr="00E55C5F">
              <w:t>93.5</w:t>
            </w:r>
            <w:r w:rsidR="00911E75" w:rsidRPr="00E55C5F">
              <w:t>%</w:t>
            </w:r>
          </w:p>
        </w:tc>
        <w:tc>
          <w:tcPr>
            <w:tcW w:w="2640" w:type="dxa"/>
            <w:noWrap/>
          </w:tcPr>
          <w:p w:rsidR="00911E75" w:rsidRPr="00E55C5F" w:rsidRDefault="00E55C5F" w:rsidP="00911E75">
            <w:pPr>
              <w:jc w:val="center"/>
            </w:pPr>
            <w:r w:rsidRPr="00E55C5F">
              <w:t>91.38</w:t>
            </w:r>
            <w:r w:rsidR="00911E75" w:rsidRPr="00E55C5F">
              <w:t>%</w:t>
            </w:r>
          </w:p>
        </w:tc>
      </w:tr>
      <w:tr w:rsidR="00911E75" w:rsidRPr="00E55C5F" w:rsidTr="007F27D7">
        <w:trPr>
          <w:trHeight w:hRule="exact" w:val="397"/>
        </w:trPr>
        <w:tc>
          <w:tcPr>
            <w:tcW w:w="2400" w:type="dxa"/>
            <w:noWrap/>
          </w:tcPr>
          <w:p w:rsidR="00911E75" w:rsidRPr="00E55C5F" w:rsidRDefault="00911E75" w:rsidP="00C90CE6">
            <w:pPr>
              <w:pStyle w:val="Table-Normal"/>
              <w:rPr>
                <w:b/>
                <w:bCs/>
                <w:sz w:val="22"/>
                <w:szCs w:val="22"/>
                <w:lang w:eastAsia="en-AU"/>
              </w:rPr>
            </w:pPr>
            <w:r w:rsidRPr="00E55C5F">
              <w:rPr>
                <w:b/>
                <w:bCs/>
                <w:sz w:val="22"/>
                <w:szCs w:val="22"/>
                <w:lang w:eastAsia="en-AU"/>
              </w:rPr>
              <w:t>Region 8</w:t>
            </w:r>
          </w:p>
        </w:tc>
        <w:tc>
          <w:tcPr>
            <w:tcW w:w="2520" w:type="dxa"/>
            <w:noWrap/>
          </w:tcPr>
          <w:p w:rsidR="00911E75" w:rsidRPr="00E55C5F" w:rsidRDefault="00E55C5F" w:rsidP="00911E75">
            <w:pPr>
              <w:jc w:val="center"/>
            </w:pPr>
            <w:r w:rsidRPr="00E55C5F">
              <w:t>95.06</w:t>
            </w:r>
            <w:r w:rsidR="00911E75" w:rsidRPr="00E55C5F">
              <w:t>%</w:t>
            </w:r>
          </w:p>
        </w:tc>
        <w:tc>
          <w:tcPr>
            <w:tcW w:w="2640" w:type="dxa"/>
          </w:tcPr>
          <w:p w:rsidR="00911E75" w:rsidRPr="00E55C5F" w:rsidRDefault="00E55C5F" w:rsidP="00911E75">
            <w:pPr>
              <w:jc w:val="center"/>
            </w:pPr>
            <w:r w:rsidRPr="00E55C5F">
              <w:t>93.71</w:t>
            </w:r>
            <w:r w:rsidR="00911E75" w:rsidRPr="00E55C5F">
              <w:t>%</w:t>
            </w:r>
          </w:p>
        </w:tc>
        <w:tc>
          <w:tcPr>
            <w:tcW w:w="2640" w:type="dxa"/>
            <w:noWrap/>
          </w:tcPr>
          <w:p w:rsidR="00911E75" w:rsidRPr="00E55C5F" w:rsidRDefault="00E55C5F" w:rsidP="00911E75">
            <w:pPr>
              <w:jc w:val="center"/>
            </w:pPr>
            <w:r w:rsidRPr="00E55C5F">
              <w:t>96.15</w:t>
            </w:r>
            <w:r w:rsidR="00911E75" w:rsidRPr="00E55C5F">
              <w:t>%</w:t>
            </w:r>
          </w:p>
        </w:tc>
      </w:tr>
      <w:tr w:rsidR="00911E75" w:rsidRPr="00E55C5F" w:rsidTr="007F27D7">
        <w:trPr>
          <w:trHeight w:hRule="exact" w:val="397"/>
        </w:trPr>
        <w:tc>
          <w:tcPr>
            <w:tcW w:w="2400" w:type="dxa"/>
            <w:noWrap/>
          </w:tcPr>
          <w:p w:rsidR="00911E75" w:rsidRPr="00E55C5F" w:rsidRDefault="00911E75" w:rsidP="00C90CE6">
            <w:pPr>
              <w:pStyle w:val="Table-Normal"/>
              <w:rPr>
                <w:b/>
                <w:bCs/>
                <w:sz w:val="22"/>
                <w:szCs w:val="22"/>
                <w:lang w:eastAsia="en-AU"/>
              </w:rPr>
            </w:pPr>
            <w:r w:rsidRPr="00E55C5F">
              <w:rPr>
                <w:b/>
                <w:bCs/>
                <w:sz w:val="22"/>
                <w:szCs w:val="22"/>
                <w:lang w:eastAsia="en-AU"/>
              </w:rPr>
              <w:t>Region 9</w:t>
            </w:r>
          </w:p>
        </w:tc>
        <w:tc>
          <w:tcPr>
            <w:tcW w:w="2520" w:type="dxa"/>
            <w:noWrap/>
          </w:tcPr>
          <w:p w:rsidR="00911E75" w:rsidRPr="00E55C5F" w:rsidRDefault="00E55C5F" w:rsidP="00911E75">
            <w:pPr>
              <w:jc w:val="center"/>
            </w:pPr>
            <w:r w:rsidRPr="00E55C5F">
              <w:t>95.16</w:t>
            </w:r>
            <w:r w:rsidR="00911E75" w:rsidRPr="00E55C5F">
              <w:t>%</w:t>
            </w:r>
          </w:p>
        </w:tc>
        <w:tc>
          <w:tcPr>
            <w:tcW w:w="2640" w:type="dxa"/>
          </w:tcPr>
          <w:p w:rsidR="00911E75" w:rsidRPr="00E55C5F" w:rsidRDefault="00E55C5F" w:rsidP="00911E75">
            <w:pPr>
              <w:jc w:val="center"/>
            </w:pPr>
            <w:r w:rsidRPr="00E55C5F">
              <w:t>92.99</w:t>
            </w:r>
            <w:r w:rsidR="00911E75" w:rsidRPr="00E55C5F">
              <w:t>%</w:t>
            </w:r>
          </w:p>
        </w:tc>
        <w:tc>
          <w:tcPr>
            <w:tcW w:w="2640" w:type="dxa"/>
            <w:noWrap/>
          </w:tcPr>
          <w:p w:rsidR="00911E75" w:rsidRPr="00E55C5F" w:rsidRDefault="00E55C5F" w:rsidP="00911E75">
            <w:pPr>
              <w:jc w:val="center"/>
            </w:pPr>
            <w:r w:rsidRPr="00E55C5F">
              <w:t>93.39</w:t>
            </w:r>
            <w:r w:rsidR="00911E75" w:rsidRPr="00E55C5F">
              <w:t>%</w:t>
            </w:r>
          </w:p>
        </w:tc>
      </w:tr>
      <w:tr w:rsidR="00E55C5F" w:rsidRPr="00213933" w:rsidTr="007F27D7">
        <w:trPr>
          <w:trHeight w:hRule="exact" w:val="397"/>
        </w:trPr>
        <w:tc>
          <w:tcPr>
            <w:tcW w:w="2400" w:type="dxa"/>
            <w:noWrap/>
          </w:tcPr>
          <w:p w:rsidR="00E55C5F" w:rsidRPr="00E55C5F" w:rsidRDefault="00E55C5F" w:rsidP="00C90CE6">
            <w:pPr>
              <w:pStyle w:val="Table-Normal"/>
              <w:rPr>
                <w:b/>
                <w:bCs/>
                <w:sz w:val="22"/>
                <w:szCs w:val="22"/>
                <w:lang w:eastAsia="en-AU"/>
              </w:rPr>
            </w:pPr>
            <w:r w:rsidRPr="00E55C5F">
              <w:rPr>
                <w:b/>
                <w:bCs/>
                <w:sz w:val="22"/>
                <w:szCs w:val="22"/>
                <w:lang w:eastAsia="en-AU"/>
              </w:rPr>
              <w:t>OSMBSC 5</w:t>
            </w:r>
          </w:p>
        </w:tc>
        <w:tc>
          <w:tcPr>
            <w:tcW w:w="2520" w:type="dxa"/>
            <w:noWrap/>
          </w:tcPr>
          <w:p w:rsidR="00E55C5F" w:rsidRPr="00E55C5F" w:rsidRDefault="00E55C5F" w:rsidP="00911E75">
            <w:pPr>
              <w:jc w:val="center"/>
            </w:pPr>
            <w:r w:rsidRPr="00E55C5F">
              <w:t>95.72%</w:t>
            </w:r>
          </w:p>
        </w:tc>
        <w:tc>
          <w:tcPr>
            <w:tcW w:w="2640" w:type="dxa"/>
          </w:tcPr>
          <w:p w:rsidR="00E55C5F" w:rsidRPr="00E55C5F" w:rsidRDefault="00E55C5F" w:rsidP="00911E75">
            <w:pPr>
              <w:jc w:val="center"/>
            </w:pPr>
            <w:r w:rsidRPr="00E55C5F">
              <w:t>95.02%</w:t>
            </w:r>
          </w:p>
        </w:tc>
        <w:tc>
          <w:tcPr>
            <w:tcW w:w="2640" w:type="dxa"/>
            <w:noWrap/>
          </w:tcPr>
          <w:p w:rsidR="00E55C5F" w:rsidRPr="00E55C5F" w:rsidRDefault="00E55C5F" w:rsidP="00911E75">
            <w:pPr>
              <w:jc w:val="center"/>
            </w:pPr>
            <w:r w:rsidRPr="00E55C5F">
              <w:t>94.66%</w:t>
            </w:r>
          </w:p>
        </w:tc>
      </w:tr>
    </w:tbl>
    <w:p w:rsidR="00085133" w:rsidRDefault="00085133" w:rsidP="00E723DB">
      <w:pPr>
        <w:pStyle w:val="Heading1"/>
      </w:pPr>
    </w:p>
    <w:p w:rsidR="00085133" w:rsidRDefault="00085133">
      <w:pPr>
        <w:spacing w:after="0"/>
        <w:rPr>
          <w:b/>
          <w:sz w:val="28"/>
        </w:rPr>
      </w:pPr>
      <w:r>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A75215" w:rsidRPr="00C90CE6" w:rsidRDefault="00A75215" w:rsidP="00A75215">
      <w:r w:rsidRPr="00C90CE6">
        <w:t xml:space="preserve">State Transit is required to achieve a reliability of &gt;99.0 per cent of timetabled trips operated, as part of </w:t>
      </w:r>
      <w:r w:rsidR="000D1AB8" w:rsidRPr="00C90CE6">
        <w:t xml:space="preserve">its Outer </w:t>
      </w:r>
      <w:r w:rsidR="002728FF">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E92C77" w:rsidRPr="00C90CE6" w:rsidRDefault="00E92C77" w:rsidP="00E92C77">
      <w:pPr>
        <w:pStyle w:val="Table-name"/>
      </w:pPr>
      <w:r w:rsidRPr="00C90CE6">
        <w:t xml:space="preserve">Table: </w:t>
      </w:r>
      <w:r w:rsidR="006D266B" w:rsidRPr="00C90CE6">
        <w:t xml:space="preserve">Reliability </w:t>
      </w:r>
      <w:r w:rsidR="00436CC7">
        <w:t>September</w:t>
      </w:r>
      <w:r w:rsidR="00AC7419">
        <w:t xml:space="preserve"> Quarter 2014</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3" w:name="Title_reliability_Dec2013"/>
            <w:bookmarkEnd w:id="3"/>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6</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396,644</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395,269</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99.65%</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7</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263,449</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262,692</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99.71%</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8</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209,286</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208,927</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99.83%</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9</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445,687</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444,350</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99.70%</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Sydney Buses</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1,315,066</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1,311,238</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99.71%</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O</w:t>
            </w:r>
            <w:r w:rsidR="002728FF">
              <w:rPr>
                <w:sz w:val="22"/>
                <w:szCs w:val="22"/>
              </w:rPr>
              <w:t>S</w:t>
            </w:r>
            <w:r w:rsidRPr="00213933">
              <w:rPr>
                <w:sz w:val="22"/>
                <w:szCs w:val="22"/>
              </w:rPr>
              <w:t>MBSC 5</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83,348</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83,302</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99.94%</w:t>
            </w:r>
          </w:p>
        </w:tc>
      </w:tr>
    </w:tbl>
    <w:p w:rsidR="0082221C" w:rsidRDefault="0082221C" w:rsidP="00E92C77">
      <w:pPr>
        <w:pStyle w:val="Table-name"/>
        <w:rPr>
          <w:b w:val="0"/>
          <w:szCs w:val="24"/>
        </w:rPr>
      </w:pPr>
    </w:p>
    <w:p w:rsidR="00AC7419" w:rsidRPr="00C90CE6" w:rsidRDefault="00AC7419" w:rsidP="00AC7419">
      <w:pPr>
        <w:pStyle w:val="Table-name"/>
      </w:pPr>
      <w:r w:rsidRPr="00C90CE6">
        <w:t xml:space="preserve">Table: Reliability </w:t>
      </w:r>
      <w:r w:rsidR="00436CC7">
        <w:t>June</w:t>
      </w:r>
      <w:r>
        <w:t xml:space="preserve"> Quarter 2014</w:t>
      </w:r>
    </w:p>
    <w:tbl>
      <w:tblPr>
        <w:tblStyle w:val="TableClassic1"/>
        <w:tblW w:w="0" w:type="auto"/>
        <w:tblLook w:val="04A0" w:firstRow="1" w:lastRow="0" w:firstColumn="1" w:lastColumn="0" w:noHBand="0" w:noVBand="1"/>
        <w:tblCaption w:val="Table: Reliability March Quarter 2014"/>
      </w:tblPr>
      <w:tblGrid>
        <w:gridCol w:w="2490"/>
        <w:gridCol w:w="2490"/>
        <w:gridCol w:w="2491"/>
        <w:gridCol w:w="2491"/>
      </w:tblGrid>
      <w:tr w:rsidR="00AC7419" w:rsidRPr="00213933"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bookmarkStart w:id="4" w:name="Title_reliability_Mar2014"/>
            <w:bookmarkEnd w:id="4"/>
          </w:p>
        </w:tc>
        <w:tc>
          <w:tcPr>
            <w:tcW w:w="2490"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w:t>
            </w:r>
            <w:r>
              <w:rPr>
                <w:sz w:val="22"/>
                <w:szCs w:val="22"/>
              </w:rPr>
              <w:t xml:space="preserve"> </w:t>
            </w:r>
            <w:r w:rsidRPr="00213933">
              <w:rPr>
                <w:sz w:val="22"/>
                <w:szCs w:val="22"/>
              </w:rPr>
              <w:t>(%)</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6</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384,615</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383,522</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99.72%</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7</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253,606</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253,019</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99.77%</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8</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204,475</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204,157</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99.84%</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9</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436,981</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435,911</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99.76%</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Sydney Buses</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1,279,677</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1,276,609</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99.76%</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O</w:t>
            </w:r>
            <w:r w:rsidR="002728FF">
              <w:rPr>
                <w:sz w:val="22"/>
                <w:szCs w:val="22"/>
              </w:rPr>
              <w:t>S</w:t>
            </w:r>
            <w:r w:rsidRPr="00213933">
              <w:rPr>
                <w:sz w:val="22"/>
                <w:szCs w:val="22"/>
              </w:rPr>
              <w:t>MBSC 5</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82,336</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82,327</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99.99%</w:t>
            </w:r>
          </w:p>
        </w:tc>
      </w:tr>
    </w:tbl>
    <w:p w:rsidR="00AC7419" w:rsidRDefault="00AC7419" w:rsidP="00AC7419">
      <w:pPr>
        <w:pStyle w:val="Table-name"/>
        <w:rPr>
          <w:b w:val="0"/>
          <w:szCs w:val="24"/>
        </w:rPr>
      </w:pPr>
    </w:p>
    <w:p w:rsidR="00E92C77" w:rsidRPr="00C90CE6" w:rsidRDefault="00E92C77" w:rsidP="00E92C77">
      <w:pPr>
        <w:pStyle w:val="Table-name"/>
      </w:pPr>
      <w:r w:rsidRPr="00C90CE6">
        <w:t xml:space="preserve">Table: </w:t>
      </w:r>
      <w:r w:rsidR="006D266B" w:rsidRPr="00C90CE6">
        <w:t xml:space="preserve">Reliability </w:t>
      </w:r>
      <w:r w:rsidR="00436CC7">
        <w:t>September</w:t>
      </w:r>
      <w:r w:rsidRPr="00C90CE6">
        <w:t xml:space="preserve"> Quarter </w:t>
      </w:r>
      <w:r w:rsidR="00110BBC">
        <w:t>2013</w:t>
      </w:r>
    </w:p>
    <w:tbl>
      <w:tblPr>
        <w:tblStyle w:val="TableClassic1"/>
        <w:tblW w:w="0" w:type="auto"/>
        <w:tblLook w:val="04A0" w:firstRow="1" w:lastRow="0" w:firstColumn="1" w:lastColumn="0" w:noHBand="0" w:noVBand="1"/>
        <w:tblCaption w:val="Table: Reliability June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5" w:name="Title_reliability_Mar2013"/>
            <w:bookmarkEnd w:id="5"/>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6</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391,741</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390,924</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99.79%</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7</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265,464</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264,804</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99.75%</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8</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208,385</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208,188</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99.91%</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Region 9</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447,510</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446,500</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99.77%</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Sydney Buses</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1,313,100</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1,310,416</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99.80%</w:t>
            </w:r>
          </w:p>
        </w:tc>
      </w:tr>
      <w:tr w:rsidR="00436CC7" w:rsidRPr="00213933" w:rsidTr="00436CC7">
        <w:tc>
          <w:tcPr>
            <w:cnfStyle w:val="001000000000" w:firstRow="0" w:lastRow="0" w:firstColumn="1" w:lastColumn="0" w:oddVBand="0" w:evenVBand="0" w:oddHBand="0" w:evenHBand="0" w:firstRowFirstColumn="0" w:firstRowLastColumn="0" w:lastRowFirstColumn="0" w:lastRowLastColumn="0"/>
            <w:tcW w:w="2490" w:type="dxa"/>
          </w:tcPr>
          <w:p w:rsidR="00436CC7" w:rsidRPr="00213933" w:rsidRDefault="00436CC7" w:rsidP="00436CC7">
            <w:pPr>
              <w:pStyle w:val="Table-Normal"/>
              <w:spacing w:before="30"/>
              <w:rPr>
                <w:sz w:val="22"/>
                <w:szCs w:val="22"/>
              </w:rPr>
            </w:pPr>
            <w:r w:rsidRPr="00213933">
              <w:rPr>
                <w:sz w:val="22"/>
                <w:szCs w:val="22"/>
              </w:rPr>
              <w:t>O</w:t>
            </w:r>
            <w:r w:rsidR="002728FF">
              <w:rPr>
                <w:sz w:val="22"/>
                <w:szCs w:val="22"/>
              </w:rPr>
              <w:t>S</w:t>
            </w:r>
            <w:r w:rsidRPr="00213933">
              <w:rPr>
                <w:sz w:val="22"/>
                <w:szCs w:val="22"/>
              </w:rPr>
              <w:t>MBSC 5</w:t>
            </w:r>
          </w:p>
        </w:tc>
        <w:tc>
          <w:tcPr>
            <w:tcW w:w="2490"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85,138</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85,128</w:t>
            </w:r>
          </w:p>
        </w:tc>
        <w:tc>
          <w:tcPr>
            <w:tcW w:w="2491" w:type="dxa"/>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b/>
                <w:bCs/>
                <w:sz w:val="22"/>
                <w:szCs w:val="20"/>
              </w:rPr>
            </w:pPr>
            <w:r w:rsidRPr="00436CC7">
              <w:rPr>
                <w:b/>
                <w:bCs/>
                <w:sz w:val="22"/>
                <w:szCs w:val="20"/>
              </w:rPr>
              <w:t>99.99%</w:t>
            </w:r>
          </w:p>
        </w:tc>
      </w:tr>
    </w:tbl>
    <w:p w:rsidR="00C11E3A" w:rsidRDefault="00C90CE6" w:rsidP="00C90CE6">
      <w:pPr>
        <w:rPr>
          <w:sz w:val="28"/>
        </w:rPr>
      </w:pPr>
      <w:bookmarkStart w:id="6" w:name="_Patronage"/>
      <w:bookmarkEnd w:id="6"/>
      <w:r>
        <w:br w:type="page"/>
      </w:r>
    </w:p>
    <w:p w:rsidR="00A75215" w:rsidRPr="00E55C5F" w:rsidRDefault="00EC441B" w:rsidP="00E723DB">
      <w:pPr>
        <w:pStyle w:val="Heading1"/>
      </w:pPr>
      <w:bookmarkStart w:id="7" w:name="_Patronage_1"/>
      <w:bookmarkEnd w:id="7"/>
      <w:r w:rsidRPr="00E55C5F">
        <w:lastRenderedPageBreak/>
        <w:t>Patronage</w:t>
      </w:r>
    </w:p>
    <w:p w:rsidR="00EC441B" w:rsidRPr="00E55C5F" w:rsidRDefault="00EC441B" w:rsidP="00A75215">
      <w:r w:rsidRPr="00E55C5F">
        <w:t xml:space="preserve">State Transit is committed </w:t>
      </w:r>
      <w:r w:rsidR="00F708BF" w:rsidRPr="00E55C5F">
        <w:t>to increasing the share of commute trips by public transport.</w:t>
      </w:r>
    </w:p>
    <w:p w:rsidR="00F708BF" w:rsidRPr="00E55C5F" w:rsidRDefault="00F708BF" w:rsidP="00A75215">
      <w:r w:rsidRPr="00E55C5F">
        <w:t>To attract customers to bus services, State Transit works hard to maintain a high level of service reliability, a high level of comfort on board the buses and a high level of convenience for passenger in ensuring that services go to where they need them to go.</w:t>
      </w:r>
    </w:p>
    <w:p w:rsidR="00E92C77" w:rsidRPr="00E55C5F" w:rsidRDefault="00E92C77" w:rsidP="00E92C77">
      <w:pPr>
        <w:pStyle w:val="Table-name"/>
      </w:pPr>
      <w:r w:rsidRPr="00E55C5F">
        <w:t>Table: Patronage</w:t>
      </w:r>
    </w:p>
    <w:tbl>
      <w:tblPr>
        <w:tblStyle w:val="TableClassic1"/>
        <w:tblW w:w="10200" w:type="dxa"/>
        <w:tblLayout w:type="fixed"/>
        <w:tblLook w:val="0000" w:firstRow="0" w:lastRow="0" w:firstColumn="0" w:lastColumn="0" w:noHBand="0" w:noVBand="0"/>
        <w:tblCaption w:val="Table: Patronage"/>
      </w:tblPr>
      <w:tblGrid>
        <w:gridCol w:w="3544"/>
        <w:gridCol w:w="2126"/>
        <w:gridCol w:w="2268"/>
        <w:gridCol w:w="2262"/>
      </w:tblGrid>
      <w:tr w:rsidR="00F708BF" w:rsidRPr="00E55C5F" w:rsidTr="00040218">
        <w:trPr>
          <w:trHeight w:hRule="exact" w:val="397"/>
          <w:tblHeader/>
        </w:trPr>
        <w:tc>
          <w:tcPr>
            <w:tcW w:w="3544" w:type="dxa"/>
            <w:noWrap/>
          </w:tcPr>
          <w:p w:rsidR="00F708BF" w:rsidRPr="00E55C5F" w:rsidRDefault="00F708BF" w:rsidP="003D0617">
            <w:pPr>
              <w:pStyle w:val="Table-Normal"/>
              <w:rPr>
                <w:b/>
                <w:sz w:val="22"/>
                <w:szCs w:val="22"/>
              </w:rPr>
            </w:pPr>
            <w:bookmarkStart w:id="8" w:name="Title_patronage"/>
            <w:bookmarkEnd w:id="8"/>
          </w:p>
        </w:tc>
        <w:tc>
          <w:tcPr>
            <w:tcW w:w="2126" w:type="dxa"/>
            <w:noWrap/>
          </w:tcPr>
          <w:p w:rsidR="00F708BF" w:rsidRPr="00E55C5F" w:rsidRDefault="00E55C5F" w:rsidP="003D0617">
            <w:pPr>
              <w:pStyle w:val="Table-Normal"/>
              <w:rPr>
                <w:b/>
                <w:sz w:val="22"/>
                <w:szCs w:val="22"/>
              </w:rPr>
            </w:pPr>
            <w:r w:rsidRPr="00E55C5F">
              <w:rPr>
                <w:b/>
                <w:sz w:val="22"/>
                <w:szCs w:val="22"/>
              </w:rPr>
              <w:t>Sept</w:t>
            </w:r>
            <w:r w:rsidR="00556E55" w:rsidRPr="00E55C5F">
              <w:rPr>
                <w:b/>
                <w:sz w:val="22"/>
                <w:szCs w:val="22"/>
              </w:rPr>
              <w:t xml:space="preserve"> Quarter 2014</w:t>
            </w:r>
          </w:p>
        </w:tc>
        <w:tc>
          <w:tcPr>
            <w:tcW w:w="2268" w:type="dxa"/>
          </w:tcPr>
          <w:p w:rsidR="00F708BF" w:rsidRPr="00E55C5F" w:rsidRDefault="00E55C5F" w:rsidP="003D0617">
            <w:pPr>
              <w:pStyle w:val="Table-Normal"/>
              <w:rPr>
                <w:b/>
                <w:sz w:val="22"/>
                <w:szCs w:val="22"/>
              </w:rPr>
            </w:pPr>
            <w:r w:rsidRPr="00E55C5F">
              <w:rPr>
                <w:b/>
                <w:sz w:val="22"/>
                <w:szCs w:val="22"/>
              </w:rPr>
              <w:t>Jun</w:t>
            </w:r>
            <w:r w:rsidR="00556E55" w:rsidRPr="00E55C5F">
              <w:rPr>
                <w:b/>
                <w:sz w:val="22"/>
                <w:szCs w:val="22"/>
              </w:rPr>
              <w:t xml:space="preserve"> </w:t>
            </w:r>
            <w:r w:rsidR="002D3F46" w:rsidRPr="00E55C5F">
              <w:rPr>
                <w:b/>
                <w:sz w:val="22"/>
                <w:szCs w:val="22"/>
              </w:rPr>
              <w:t>Quarter 2014</w:t>
            </w:r>
          </w:p>
        </w:tc>
        <w:tc>
          <w:tcPr>
            <w:tcW w:w="2262" w:type="dxa"/>
          </w:tcPr>
          <w:p w:rsidR="00F708BF" w:rsidRPr="00E55C5F" w:rsidRDefault="00E55C5F" w:rsidP="003D0617">
            <w:pPr>
              <w:pStyle w:val="Table-Normal"/>
              <w:rPr>
                <w:b/>
                <w:sz w:val="22"/>
                <w:szCs w:val="22"/>
              </w:rPr>
            </w:pPr>
            <w:r w:rsidRPr="00E55C5F">
              <w:rPr>
                <w:b/>
                <w:sz w:val="22"/>
                <w:szCs w:val="22"/>
              </w:rPr>
              <w:t>Sept</w:t>
            </w:r>
            <w:r w:rsidR="00556E55" w:rsidRPr="00E55C5F">
              <w:rPr>
                <w:b/>
                <w:sz w:val="22"/>
                <w:szCs w:val="22"/>
              </w:rPr>
              <w:t xml:space="preserve"> Quarter 2013</w:t>
            </w:r>
          </w:p>
        </w:tc>
      </w:tr>
      <w:tr w:rsidR="002D3F46" w:rsidRPr="00E55C5F" w:rsidTr="007F27D7">
        <w:trPr>
          <w:trHeight w:hRule="exact" w:val="397"/>
        </w:trPr>
        <w:tc>
          <w:tcPr>
            <w:tcW w:w="3544" w:type="dxa"/>
            <w:noWrap/>
          </w:tcPr>
          <w:p w:rsidR="002D3F46" w:rsidRPr="00E55C5F" w:rsidRDefault="002D3F46" w:rsidP="003D0617">
            <w:pPr>
              <w:pStyle w:val="Table-Normal"/>
              <w:rPr>
                <w:b/>
                <w:sz w:val="22"/>
                <w:szCs w:val="22"/>
              </w:rPr>
            </w:pPr>
            <w:r w:rsidRPr="00E55C5F">
              <w:rPr>
                <w:b/>
                <w:sz w:val="22"/>
                <w:szCs w:val="22"/>
              </w:rPr>
              <w:t>Sydney Buses</w:t>
            </w:r>
          </w:p>
        </w:tc>
        <w:tc>
          <w:tcPr>
            <w:tcW w:w="2126" w:type="dxa"/>
            <w:noWrap/>
          </w:tcPr>
          <w:p w:rsidR="002D3F46" w:rsidRPr="00E55C5F" w:rsidRDefault="00FC6DBD" w:rsidP="00450BEE">
            <w:pPr>
              <w:pStyle w:val="Table-Normal"/>
              <w:jc w:val="center"/>
              <w:rPr>
                <w:sz w:val="22"/>
                <w:szCs w:val="22"/>
              </w:rPr>
            </w:pPr>
            <w:r w:rsidRPr="00E55C5F">
              <w:rPr>
                <w:sz w:val="22"/>
                <w:szCs w:val="22"/>
              </w:rPr>
              <w:t>4</w:t>
            </w:r>
            <w:r w:rsidR="00E55C5F" w:rsidRPr="00E55C5F">
              <w:rPr>
                <w:sz w:val="22"/>
                <w:szCs w:val="22"/>
              </w:rPr>
              <w:t>6,824,000</w:t>
            </w:r>
          </w:p>
        </w:tc>
        <w:tc>
          <w:tcPr>
            <w:tcW w:w="2268" w:type="dxa"/>
          </w:tcPr>
          <w:p w:rsidR="002D3F46" w:rsidRPr="00E55C5F" w:rsidRDefault="00602E8A" w:rsidP="00450BEE">
            <w:pPr>
              <w:pStyle w:val="Table-Normal"/>
              <w:jc w:val="center"/>
              <w:rPr>
                <w:sz w:val="22"/>
                <w:szCs w:val="22"/>
              </w:rPr>
            </w:pPr>
            <w:r>
              <w:rPr>
                <w:sz w:val="22"/>
                <w:szCs w:val="22"/>
              </w:rPr>
              <w:t>47,436</w:t>
            </w:r>
            <w:r w:rsidR="00E55C5F" w:rsidRPr="00E55C5F">
              <w:rPr>
                <w:sz w:val="22"/>
                <w:szCs w:val="22"/>
              </w:rPr>
              <w:t>,000</w:t>
            </w:r>
          </w:p>
        </w:tc>
        <w:tc>
          <w:tcPr>
            <w:tcW w:w="2262" w:type="dxa"/>
            <w:noWrap/>
          </w:tcPr>
          <w:p w:rsidR="002D3F46" w:rsidRPr="00E55C5F" w:rsidRDefault="00FC6DBD" w:rsidP="00450BEE">
            <w:pPr>
              <w:pStyle w:val="Table-Normal"/>
              <w:jc w:val="center"/>
              <w:rPr>
                <w:sz w:val="22"/>
                <w:szCs w:val="22"/>
              </w:rPr>
            </w:pPr>
            <w:r w:rsidRPr="00E55C5F">
              <w:rPr>
                <w:sz w:val="22"/>
                <w:szCs w:val="22"/>
              </w:rPr>
              <w:t>48,0</w:t>
            </w:r>
            <w:r w:rsidR="00E55C5F" w:rsidRPr="00E55C5F">
              <w:rPr>
                <w:sz w:val="22"/>
                <w:szCs w:val="22"/>
              </w:rPr>
              <w:t>05,000</w:t>
            </w:r>
          </w:p>
        </w:tc>
      </w:tr>
      <w:tr w:rsidR="002D3F46" w:rsidRPr="00C90CE6" w:rsidTr="007F27D7">
        <w:trPr>
          <w:trHeight w:hRule="exact" w:val="397"/>
        </w:trPr>
        <w:tc>
          <w:tcPr>
            <w:tcW w:w="3544" w:type="dxa"/>
            <w:noWrap/>
          </w:tcPr>
          <w:p w:rsidR="002D3F46" w:rsidRPr="00E55C5F" w:rsidRDefault="002D3F46" w:rsidP="006D266B">
            <w:pPr>
              <w:pStyle w:val="Table-Normal"/>
              <w:rPr>
                <w:b/>
                <w:sz w:val="22"/>
                <w:szCs w:val="22"/>
              </w:rPr>
            </w:pPr>
            <w:r w:rsidRPr="00E55C5F">
              <w:rPr>
                <w:b/>
                <w:sz w:val="22"/>
                <w:szCs w:val="22"/>
              </w:rPr>
              <w:t>Newcastle Buses &amp; Ferries</w:t>
            </w:r>
          </w:p>
        </w:tc>
        <w:tc>
          <w:tcPr>
            <w:tcW w:w="2126" w:type="dxa"/>
            <w:noWrap/>
          </w:tcPr>
          <w:p w:rsidR="002D3F46" w:rsidRPr="00E55C5F" w:rsidRDefault="00E55C5F" w:rsidP="00450BEE">
            <w:pPr>
              <w:pStyle w:val="Table-Normal"/>
              <w:jc w:val="center"/>
              <w:rPr>
                <w:sz w:val="22"/>
                <w:szCs w:val="22"/>
              </w:rPr>
            </w:pPr>
            <w:r w:rsidRPr="00E55C5F">
              <w:rPr>
                <w:sz w:val="22"/>
                <w:szCs w:val="22"/>
              </w:rPr>
              <w:t>2,854,000</w:t>
            </w:r>
          </w:p>
        </w:tc>
        <w:tc>
          <w:tcPr>
            <w:tcW w:w="2268" w:type="dxa"/>
          </w:tcPr>
          <w:p w:rsidR="002D3F46" w:rsidRPr="00E55C5F" w:rsidRDefault="00E55C5F" w:rsidP="00450BEE">
            <w:pPr>
              <w:pStyle w:val="Table-Normal"/>
              <w:jc w:val="center"/>
              <w:rPr>
                <w:sz w:val="22"/>
                <w:szCs w:val="22"/>
              </w:rPr>
            </w:pPr>
            <w:r w:rsidRPr="00E55C5F">
              <w:rPr>
                <w:sz w:val="22"/>
                <w:szCs w:val="22"/>
              </w:rPr>
              <w:t>2,911,000</w:t>
            </w:r>
          </w:p>
        </w:tc>
        <w:tc>
          <w:tcPr>
            <w:tcW w:w="2262" w:type="dxa"/>
            <w:noWrap/>
          </w:tcPr>
          <w:p w:rsidR="002D3F46" w:rsidRPr="00C90CE6" w:rsidRDefault="00FC6DBD" w:rsidP="00450BEE">
            <w:pPr>
              <w:pStyle w:val="Table-Normal"/>
              <w:jc w:val="center"/>
              <w:rPr>
                <w:sz w:val="22"/>
                <w:szCs w:val="22"/>
              </w:rPr>
            </w:pPr>
            <w:r w:rsidRPr="00E55C5F">
              <w:rPr>
                <w:sz w:val="22"/>
                <w:szCs w:val="22"/>
              </w:rPr>
              <w:t>2,9</w:t>
            </w:r>
            <w:r w:rsidR="00E55C5F" w:rsidRPr="00E55C5F">
              <w:rPr>
                <w:sz w:val="22"/>
                <w:szCs w:val="22"/>
              </w:rPr>
              <w:t>42,000</w:t>
            </w:r>
          </w:p>
        </w:tc>
      </w:tr>
    </w:tbl>
    <w:p w:rsidR="000548D9" w:rsidRPr="00C90CE6" w:rsidRDefault="000548D9">
      <w:r w:rsidRPr="00C90CE6">
        <w:br w:type="page"/>
      </w:r>
    </w:p>
    <w:p w:rsidR="000548D9" w:rsidRPr="00C90CE6" w:rsidRDefault="000548D9" w:rsidP="003E456D">
      <w:pPr>
        <w:pStyle w:val="Heading1"/>
      </w:pPr>
      <w:bookmarkStart w:id="9" w:name="_State_Transit_Fleet"/>
      <w:bookmarkEnd w:id="9"/>
      <w:r w:rsidRPr="00C90CE6">
        <w:lastRenderedPageBreak/>
        <w:t>State Transit Fleet</w:t>
      </w:r>
    </w:p>
    <w:p w:rsidR="000548D9" w:rsidRPr="00C90CE6" w:rsidRDefault="000548D9" w:rsidP="00A75215">
      <w:r w:rsidRPr="00C90CE6">
        <w:t xml:space="preserve">The number of buses in the State Transit fleet, as of </w:t>
      </w:r>
      <w:r w:rsidR="002728FF">
        <w:t xml:space="preserve">30 September 2014 </w:t>
      </w:r>
      <w:r w:rsidR="00B111A9">
        <w:t>was 2,159</w:t>
      </w:r>
      <w:r w:rsidR="00085133">
        <w:t>.</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and air-conditioned</w:t>
      </w:r>
      <w:r w:rsidRPr="00C90CE6">
        <w:t xml:space="preserve"> buses in the f</w:t>
      </w:r>
      <w:r w:rsidR="00B1676A">
        <w:t xml:space="preserve">leet </w:t>
      </w:r>
      <w:r w:rsidR="00B111A9">
        <w:t>increased by 69</w:t>
      </w:r>
      <w:r w:rsidRPr="00C90CE6">
        <w:t>.</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w:t>
      </w:r>
      <w:r w:rsidR="002728FF">
        <w:t xml:space="preserve"> 30 September 2014</w:t>
      </w:r>
      <w:r w:rsidR="006E2F44" w:rsidRPr="00C90CE6">
        <w:t>, the average age of the S</w:t>
      </w:r>
      <w:r w:rsidR="00436CC7">
        <w:t>tate Transit bus fleet was 10.04</w:t>
      </w:r>
      <w:r w:rsidR="006E2F44" w:rsidRPr="00C90CE6">
        <w:t xml:space="preserve"> 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6E2F44"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sz w:val="22"/>
                <w:szCs w:val="22"/>
                <w:lang w:val="en-US"/>
              </w:rPr>
            </w:pPr>
            <w:bookmarkStart w:id="10" w:name="Title_fleet"/>
            <w:bookmarkEnd w:id="10"/>
          </w:p>
        </w:tc>
        <w:tc>
          <w:tcPr>
            <w:tcW w:w="2552" w:type="dxa"/>
            <w:noWrap/>
          </w:tcPr>
          <w:p w:rsidR="006E2F44" w:rsidRPr="00C90CE6" w:rsidRDefault="00436CC7" w:rsidP="00556E55">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Sept</w:t>
            </w:r>
            <w:r w:rsidR="00556E55">
              <w:rPr>
                <w:sz w:val="22"/>
                <w:szCs w:val="22"/>
              </w:rPr>
              <w:t xml:space="preserve"> Quarter 2014</w:t>
            </w:r>
          </w:p>
        </w:tc>
        <w:tc>
          <w:tcPr>
            <w:tcW w:w="2410" w:type="dxa"/>
            <w:noWrap/>
          </w:tcPr>
          <w:p w:rsidR="006E2F44" w:rsidRPr="00C90CE6" w:rsidRDefault="00436CC7" w:rsidP="00EC5828">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 xml:space="preserve">June </w:t>
            </w:r>
            <w:r w:rsidR="006E2F44" w:rsidRPr="00C90CE6">
              <w:rPr>
                <w:sz w:val="22"/>
                <w:szCs w:val="22"/>
              </w:rPr>
              <w:t>Quarter 201</w:t>
            </w:r>
            <w:r w:rsidR="00EC5828">
              <w:rPr>
                <w:sz w:val="22"/>
                <w:szCs w:val="22"/>
              </w:rPr>
              <w:t>4</w:t>
            </w:r>
          </w:p>
        </w:tc>
        <w:tc>
          <w:tcPr>
            <w:tcW w:w="2403" w:type="dxa"/>
            <w:noWrap/>
          </w:tcPr>
          <w:p w:rsidR="006E2F44" w:rsidRPr="00C90CE6" w:rsidRDefault="00436CC7"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Sept</w:t>
            </w:r>
            <w:r w:rsidR="00B1676A">
              <w:rPr>
                <w:sz w:val="22"/>
                <w:szCs w:val="22"/>
              </w:rPr>
              <w:t xml:space="preserve"> Quarter 2013</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Total number of buses</w:t>
            </w:r>
          </w:p>
        </w:tc>
        <w:tc>
          <w:tcPr>
            <w:tcW w:w="2552"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2,159</w:t>
            </w:r>
          </w:p>
        </w:tc>
        <w:tc>
          <w:tcPr>
            <w:tcW w:w="2410"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2,162</w:t>
            </w:r>
          </w:p>
        </w:tc>
        <w:tc>
          <w:tcPr>
            <w:tcW w:w="2403"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2,166</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Wheelchair accessible</w:t>
            </w:r>
          </w:p>
        </w:tc>
        <w:tc>
          <w:tcPr>
            <w:tcW w:w="2552"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1,792 (83% of fleet)</w:t>
            </w:r>
          </w:p>
        </w:tc>
        <w:tc>
          <w:tcPr>
            <w:tcW w:w="2410"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1,785 (82.6% of fleet)</w:t>
            </w:r>
          </w:p>
        </w:tc>
        <w:tc>
          <w:tcPr>
            <w:tcW w:w="2403"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1,723 (79.5% of fleet)</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Air-conditioned</w:t>
            </w:r>
          </w:p>
        </w:tc>
        <w:tc>
          <w:tcPr>
            <w:tcW w:w="2552"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 045 (94.7% of fleet)</w:t>
            </w:r>
          </w:p>
        </w:tc>
        <w:tc>
          <w:tcPr>
            <w:tcW w:w="2410"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2, 038 (94.3% of fleet)</w:t>
            </w:r>
          </w:p>
        </w:tc>
        <w:tc>
          <w:tcPr>
            <w:tcW w:w="2403"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1,976 (91.2% of fleet)</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Average fleet age</w:t>
            </w:r>
          </w:p>
        </w:tc>
        <w:tc>
          <w:tcPr>
            <w:tcW w:w="2552"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10.04 years</w:t>
            </w:r>
          </w:p>
        </w:tc>
        <w:tc>
          <w:tcPr>
            <w:tcW w:w="2410"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9.89 years</w:t>
            </w:r>
          </w:p>
        </w:tc>
        <w:tc>
          <w:tcPr>
            <w:tcW w:w="2403" w:type="dxa"/>
            <w:noWrap/>
            <w:vAlign w:val="center"/>
          </w:tcPr>
          <w:p w:rsidR="00436CC7" w:rsidRPr="00436CC7" w:rsidRDefault="00436CC7"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436CC7">
              <w:rPr>
                <w:sz w:val="22"/>
                <w:szCs w:val="20"/>
              </w:rPr>
              <w:t>9.93 years</w:t>
            </w:r>
          </w:p>
        </w:tc>
      </w:tr>
    </w:tbl>
    <w:p w:rsidR="006E2F44" w:rsidRPr="00C90CE6" w:rsidRDefault="006E2F44">
      <w:r w:rsidRPr="00C90CE6">
        <w:br w:type="page"/>
      </w:r>
    </w:p>
    <w:p w:rsidR="006E2F44" w:rsidRPr="00C90CE6" w:rsidRDefault="006E2F44" w:rsidP="003E456D">
      <w:pPr>
        <w:pStyle w:val="Heading1"/>
      </w:pPr>
      <w:bookmarkStart w:id="11" w:name="_Mechanical_Changeovers"/>
      <w:bookmarkEnd w:id="11"/>
      <w:r w:rsidRPr="00C90CE6">
        <w:lastRenderedPageBreak/>
        <w:t>Mechanical Changeovers</w:t>
      </w: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 xml:space="preserve">State Transit’s current fleet of 2,159 buses operate more than 16,000 services a day, travelling more than 90 million kilometres every year. Travelling such distances means significant amounts of wear and tear </w:t>
      </w:r>
      <w:r w:rsidR="00EA5C74">
        <w:rPr>
          <w:color w:val="000000"/>
          <w:kern w:val="0"/>
          <w:szCs w:val="24"/>
          <w:lang w:eastAsia="en-AU"/>
        </w:rPr>
        <w:t>on buses, engines and fittings.</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EA5C74">
        <w:rPr>
          <w:color w:val="000000"/>
          <w:kern w:val="0"/>
          <w:szCs w:val="24"/>
          <w:lang w:eastAsia="en-AU"/>
        </w:rPr>
        <w:t>rks hard to drive repairs down.</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In all of these cases, the bus may still be operable, but State Transit has withdrawn the bus from service in the interests of customer comfort or safety. These changeovers are measured against the number of kilometres that the fleet travels.</w:t>
      </w:r>
    </w:p>
    <w:p w:rsidR="003D2C5B" w:rsidRPr="00A758C0" w:rsidRDefault="003D2C5B" w:rsidP="00D75CB9">
      <w:pPr>
        <w:autoSpaceDE w:val="0"/>
        <w:autoSpaceDN w:val="0"/>
        <w:adjustRightInd w:val="0"/>
        <w:spacing w:after="0"/>
        <w:jc w:val="both"/>
        <w:rPr>
          <w:color w:val="000000"/>
          <w:kern w:val="0"/>
          <w:szCs w:val="24"/>
          <w:lang w:eastAsia="en-AU"/>
        </w:rPr>
      </w:pPr>
    </w:p>
    <w:p w:rsidR="003D2C5B" w:rsidRDefault="003D2C5B" w:rsidP="003D2C5B">
      <w:pPr>
        <w:autoSpaceDE w:val="0"/>
        <w:autoSpaceDN w:val="0"/>
        <w:adjustRightInd w:val="0"/>
        <w:spacing w:after="0"/>
        <w:jc w:val="both"/>
        <w:rPr>
          <w:color w:val="000000"/>
          <w:kern w:val="0"/>
          <w:szCs w:val="24"/>
          <w:lang w:eastAsia="en-AU"/>
        </w:rPr>
      </w:pPr>
      <w:r>
        <w:rPr>
          <w:color w:val="000000"/>
          <w:kern w:val="0"/>
          <w:szCs w:val="24"/>
          <w:lang w:eastAsia="en-AU"/>
        </w:rPr>
        <w:t>State Transit has changed the way it reports the number of mechanical changeovers to include those incidents where a bus has been withdrawn from service as a result of a fault that affects customer comfort, despite the bus being able to continue on its journey safely. Such instances may include an electrical, bus body or air conditioning fault. These instances were previously excluded from the reporting of mechanical changeovers. Therefore, the figures for the June 2013 and March 2014 quarters differ from those figures previously published.</w:t>
      </w:r>
    </w:p>
    <w:p w:rsidR="00D75CB9" w:rsidRDefault="00D75CB9" w:rsidP="00C2038E">
      <w:pPr>
        <w:pStyle w:val="Table-name"/>
        <w:rPr>
          <w:highlight w:val="yellow"/>
        </w:rPr>
      </w:pPr>
    </w:p>
    <w:p w:rsidR="00C2038E" w:rsidRPr="003C4E5A" w:rsidRDefault="00C2038E" w:rsidP="00C2038E">
      <w:pPr>
        <w:pStyle w:val="Table-name"/>
      </w:pPr>
      <w:r w:rsidRPr="003C4E5A">
        <w:t xml:space="preserve">Table: Changeovers </w:t>
      </w:r>
      <w:r w:rsidR="00D75CB9" w:rsidRPr="003C4E5A">
        <w:t xml:space="preserve">September </w:t>
      </w:r>
      <w:r w:rsidRPr="003C4E5A">
        <w:t>Quarter 2014</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C2038E" w:rsidRPr="003C4E5A"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C2038E" w:rsidRPr="003C4E5A" w:rsidRDefault="00C2038E" w:rsidP="0001213A">
            <w:pPr>
              <w:pStyle w:val="Table-Normal"/>
              <w:spacing w:before="30" w:after="30"/>
            </w:pPr>
            <w:bookmarkStart w:id="12" w:name="Title_changeovers_Dec2013"/>
            <w:bookmarkEnd w:id="12"/>
          </w:p>
        </w:tc>
        <w:tc>
          <w:tcPr>
            <w:tcW w:w="3321" w:type="dxa"/>
          </w:tcPr>
          <w:p w:rsidR="00C2038E" w:rsidRPr="003C4E5A"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Total Kilometres Operated</w:t>
            </w:r>
          </w:p>
        </w:tc>
        <w:tc>
          <w:tcPr>
            <w:tcW w:w="3321" w:type="dxa"/>
          </w:tcPr>
          <w:p w:rsidR="00C2038E" w:rsidRPr="003C4E5A"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Mechanical Changeovers per 100,000kms</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6</w:t>
            </w:r>
          </w:p>
        </w:tc>
        <w:tc>
          <w:tcPr>
            <w:tcW w:w="3321" w:type="dxa"/>
            <w:vAlign w:val="center"/>
          </w:tcPr>
          <w:p w:rsidR="00030B37" w:rsidRPr="003C4E5A"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6,</w:t>
            </w:r>
            <w:r w:rsidR="003C4E5A" w:rsidRPr="003C4E5A">
              <w:rPr>
                <w:szCs w:val="24"/>
              </w:rPr>
              <w:t>202,236</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9.1</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7</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5,215,129</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9.7</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8</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4,295,564</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7.8</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9</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6,344,374</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12.4</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rPr>
                <w:b/>
              </w:rPr>
            </w:pPr>
            <w:r w:rsidRPr="003C4E5A">
              <w:rPr>
                <w:b/>
              </w:rPr>
              <w:t>Sydney Buses</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4"/>
              </w:rPr>
            </w:pPr>
            <w:r w:rsidRPr="003C4E5A">
              <w:rPr>
                <w:b/>
                <w:bCs/>
                <w:szCs w:val="24"/>
              </w:rPr>
              <w:t>22,057,303</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4"/>
              </w:rPr>
            </w:pPr>
            <w:r w:rsidRPr="003C4E5A">
              <w:rPr>
                <w:b/>
                <w:bCs/>
                <w:szCs w:val="24"/>
              </w:rPr>
              <w:t>9.9</w:t>
            </w:r>
          </w:p>
        </w:tc>
      </w:tr>
      <w:tr w:rsidR="00030B37" w:rsidRPr="00754D4D"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O</w:t>
            </w:r>
            <w:r w:rsidR="002728FF">
              <w:t>S</w:t>
            </w:r>
            <w:r w:rsidRPr="003C4E5A">
              <w:t>MBSC 5</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2,198,196</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3.4</w:t>
            </w:r>
          </w:p>
        </w:tc>
      </w:tr>
    </w:tbl>
    <w:p w:rsidR="00C2038E" w:rsidRPr="00754D4D" w:rsidRDefault="00C2038E" w:rsidP="00C2038E">
      <w:pPr>
        <w:pStyle w:val="Table-name"/>
        <w:rPr>
          <w:b w:val="0"/>
          <w:highlight w:val="yellow"/>
        </w:rPr>
      </w:pPr>
    </w:p>
    <w:p w:rsidR="006D266B" w:rsidRPr="003C4E5A" w:rsidRDefault="006D266B" w:rsidP="006D266B">
      <w:pPr>
        <w:pStyle w:val="Table-name"/>
      </w:pPr>
      <w:r w:rsidRPr="003C4E5A">
        <w:t>Table: Chan</w:t>
      </w:r>
      <w:r w:rsidR="00D75CB9" w:rsidRPr="003C4E5A">
        <w:t>geovers June</w:t>
      </w:r>
      <w:r w:rsidR="00B1676A" w:rsidRPr="003C4E5A">
        <w:t xml:space="preserve"> Quarter 2014</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6D266B" w:rsidRPr="003C4E5A"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3C4E5A" w:rsidRDefault="006D266B" w:rsidP="0082221C">
            <w:pPr>
              <w:pStyle w:val="Table-Normal"/>
              <w:spacing w:before="30" w:after="30"/>
            </w:pPr>
            <w:bookmarkStart w:id="13" w:name="Title_changeovers_Mar2014"/>
            <w:bookmarkEnd w:id="13"/>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Total Kilometres Operated</w:t>
            </w:r>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Mechanical Changeovers per 100,000kms</w:t>
            </w:r>
          </w:p>
        </w:tc>
      </w:tr>
      <w:tr w:rsidR="003C4E5A"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pPr>
            <w:r w:rsidRPr="003C4E5A">
              <w:t>Region 6</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6,118,117</w:t>
            </w:r>
          </w:p>
        </w:tc>
        <w:tc>
          <w:tcPr>
            <w:tcW w:w="3321" w:type="dxa"/>
            <w:vAlign w:val="center"/>
          </w:tcPr>
          <w:p w:rsidR="003C4E5A" w:rsidRPr="003C4E5A" w:rsidRDefault="00D2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9.3</w:t>
            </w:r>
          </w:p>
        </w:tc>
      </w:tr>
      <w:tr w:rsidR="003C4E5A"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pPr>
            <w:r w:rsidRPr="003C4E5A">
              <w:t>Region 7</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4,991,672</w:t>
            </w:r>
          </w:p>
        </w:tc>
        <w:tc>
          <w:tcPr>
            <w:tcW w:w="3321" w:type="dxa"/>
            <w:vAlign w:val="center"/>
          </w:tcPr>
          <w:p w:rsidR="003C4E5A" w:rsidRPr="003C4E5A" w:rsidRDefault="00D2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9.5</w:t>
            </w:r>
          </w:p>
        </w:tc>
      </w:tr>
      <w:tr w:rsidR="003C4E5A"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pPr>
            <w:r w:rsidRPr="003C4E5A">
              <w:t>Region 8</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4,217,096</w:t>
            </w:r>
          </w:p>
        </w:tc>
        <w:tc>
          <w:tcPr>
            <w:tcW w:w="3321" w:type="dxa"/>
            <w:vAlign w:val="center"/>
          </w:tcPr>
          <w:p w:rsidR="003C4E5A" w:rsidRPr="003C4E5A" w:rsidRDefault="00D2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8.1</w:t>
            </w:r>
          </w:p>
        </w:tc>
      </w:tr>
      <w:tr w:rsidR="003C4E5A"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pPr>
            <w:r w:rsidRPr="003C4E5A">
              <w:t>Region 9</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6,200,676</w:t>
            </w:r>
          </w:p>
        </w:tc>
        <w:tc>
          <w:tcPr>
            <w:tcW w:w="3321" w:type="dxa"/>
            <w:vAlign w:val="center"/>
          </w:tcPr>
          <w:p w:rsidR="003C4E5A" w:rsidRPr="003C4E5A" w:rsidRDefault="00D2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13.0</w:t>
            </w:r>
          </w:p>
        </w:tc>
      </w:tr>
      <w:tr w:rsidR="003C4E5A"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rPr>
                <w:b/>
              </w:rPr>
            </w:pPr>
            <w:r w:rsidRPr="003C4E5A">
              <w:rPr>
                <w:b/>
              </w:rPr>
              <w:t>Sydney Buses</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b/>
                <w:bCs/>
                <w:szCs w:val="24"/>
              </w:rPr>
            </w:pPr>
            <w:r w:rsidRPr="003C4E5A">
              <w:rPr>
                <w:b/>
                <w:bCs/>
                <w:szCs w:val="24"/>
              </w:rPr>
              <w:t>21,527,561</w:t>
            </w:r>
          </w:p>
        </w:tc>
        <w:tc>
          <w:tcPr>
            <w:tcW w:w="3321" w:type="dxa"/>
            <w:vAlign w:val="center"/>
          </w:tcPr>
          <w:p w:rsidR="003C4E5A" w:rsidRPr="003C4E5A" w:rsidRDefault="00D24E5A" w:rsidP="003C4E5A">
            <w:pPr>
              <w:spacing w:after="0"/>
              <w:jc w:val="center"/>
              <w:cnfStyle w:val="000000000000" w:firstRow="0" w:lastRow="0" w:firstColumn="0" w:lastColumn="0" w:oddVBand="0" w:evenVBand="0" w:oddHBand="0" w:evenHBand="0" w:firstRowFirstColumn="0" w:firstRowLastColumn="0" w:lastRowFirstColumn="0" w:lastRowLastColumn="0"/>
              <w:rPr>
                <w:b/>
                <w:bCs/>
                <w:szCs w:val="24"/>
              </w:rPr>
            </w:pPr>
            <w:r>
              <w:rPr>
                <w:b/>
                <w:bCs/>
                <w:szCs w:val="24"/>
              </w:rPr>
              <w:t>10.2</w:t>
            </w:r>
          </w:p>
        </w:tc>
      </w:tr>
      <w:tr w:rsidR="003C4E5A" w:rsidRPr="00754D4D" w:rsidTr="003C4E5A">
        <w:tc>
          <w:tcPr>
            <w:cnfStyle w:val="001000000000" w:firstRow="0" w:lastRow="0" w:firstColumn="1" w:lastColumn="0" w:oddVBand="0" w:evenVBand="0" w:oddHBand="0" w:evenHBand="0" w:firstRowFirstColumn="0" w:firstRowLastColumn="0" w:lastRowFirstColumn="0" w:lastRowLastColumn="0"/>
            <w:tcW w:w="3320" w:type="dxa"/>
          </w:tcPr>
          <w:p w:rsidR="003C4E5A" w:rsidRPr="003C4E5A" w:rsidRDefault="003C4E5A" w:rsidP="0082221C">
            <w:pPr>
              <w:pStyle w:val="Table-Normal"/>
              <w:spacing w:before="30" w:after="30"/>
            </w:pPr>
            <w:r w:rsidRPr="003C4E5A">
              <w:t>O</w:t>
            </w:r>
            <w:r w:rsidR="002728FF">
              <w:t>S</w:t>
            </w:r>
            <w:r w:rsidRPr="003C4E5A">
              <w:t>MBSC 5</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3C4E5A">
              <w:rPr>
                <w:szCs w:val="24"/>
              </w:rPr>
              <w:t>2,121,564</w:t>
            </w:r>
          </w:p>
        </w:tc>
        <w:tc>
          <w:tcPr>
            <w:tcW w:w="3321" w:type="dxa"/>
            <w:vAlign w:val="center"/>
          </w:tcPr>
          <w:p w:rsidR="003C4E5A" w:rsidRPr="003C4E5A" w:rsidRDefault="00D24E5A" w:rsidP="003C4E5A">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2.5</w:t>
            </w:r>
          </w:p>
        </w:tc>
      </w:tr>
    </w:tbl>
    <w:p w:rsidR="006D266B" w:rsidRPr="003C4E5A" w:rsidRDefault="006D266B" w:rsidP="006D266B">
      <w:pPr>
        <w:pStyle w:val="Table-name"/>
      </w:pPr>
    </w:p>
    <w:p w:rsidR="006D266B" w:rsidRPr="003C4E5A" w:rsidRDefault="006D266B" w:rsidP="006D266B">
      <w:pPr>
        <w:pStyle w:val="Table-name"/>
      </w:pPr>
      <w:r w:rsidRPr="003C4E5A">
        <w:lastRenderedPageBreak/>
        <w:t xml:space="preserve">Table: Changeovers </w:t>
      </w:r>
      <w:r w:rsidR="00D75CB9" w:rsidRPr="003C4E5A">
        <w:t>September</w:t>
      </w:r>
      <w:r w:rsidR="00C2038E" w:rsidRPr="003C4E5A">
        <w:t xml:space="preserve"> Quarter 2013</w:t>
      </w:r>
    </w:p>
    <w:tbl>
      <w:tblPr>
        <w:tblStyle w:val="TableClassic1"/>
        <w:tblW w:w="0" w:type="auto"/>
        <w:tblLook w:val="04A0" w:firstRow="1" w:lastRow="0" w:firstColumn="1" w:lastColumn="0" w:noHBand="0" w:noVBand="1"/>
        <w:tblCaption w:val="Table: Changeovers June Quarter 2013"/>
      </w:tblPr>
      <w:tblGrid>
        <w:gridCol w:w="3320"/>
        <w:gridCol w:w="3321"/>
        <w:gridCol w:w="3321"/>
      </w:tblGrid>
      <w:tr w:rsidR="006D266B" w:rsidRPr="003C4E5A"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3C4E5A" w:rsidRDefault="006D266B" w:rsidP="0082221C">
            <w:pPr>
              <w:pStyle w:val="Table-Normal"/>
              <w:spacing w:before="30" w:after="30"/>
            </w:pPr>
            <w:bookmarkStart w:id="14" w:name="Title_changeovers_Mar2013"/>
            <w:bookmarkEnd w:id="14"/>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Total Kilometres Operated</w:t>
            </w:r>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Mechanical Changeovers per 100,000kms</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6</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6,045,789</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10.3</w:t>
            </w:r>
          </w:p>
        </w:tc>
      </w:tr>
      <w:tr w:rsidR="00030B37" w:rsidRPr="003C4E5A" w:rsidTr="003C4E5A">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7</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5,195,489</w:t>
            </w:r>
          </w:p>
        </w:tc>
        <w:tc>
          <w:tcPr>
            <w:tcW w:w="3321" w:type="dxa"/>
            <w:vAlign w:val="center"/>
          </w:tcPr>
          <w:p w:rsidR="003C4E5A" w:rsidRPr="003C4E5A" w:rsidRDefault="003C4E5A" w:rsidP="003C4E5A">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10.7</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8</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4,290,392</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7.7</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Region 9</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6,291,394</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14.0</w:t>
            </w:r>
          </w:p>
        </w:tc>
      </w:tr>
      <w:tr w:rsidR="00030B37" w:rsidRPr="003C4E5A"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rPr>
                <w:b/>
              </w:rPr>
            </w:pPr>
            <w:r w:rsidRPr="003C4E5A">
              <w:rPr>
                <w:b/>
              </w:rPr>
              <w:t>Sydney Buses</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0"/>
              </w:rPr>
            </w:pPr>
            <w:r w:rsidRPr="003C4E5A">
              <w:rPr>
                <w:b/>
                <w:bCs/>
                <w:szCs w:val="20"/>
              </w:rPr>
              <w:t>21,823,064</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0"/>
              </w:rPr>
            </w:pPr>
            <w:r w:rsidRPr="003C4E5A">
              <w:rPr>
                <w:b/>
                <w:bCs/>
                <w:szCs w:val="20"/>
              </w:rPr>
              <w:t>11.0</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3C4E5A" w:rsidRDefault="00030B37" w:rsidP="00030B37">
            <w:pPr>
              <w:pStyle w:val="Table-Normal"/>
              <w:spacing w:before="30"/>
            </w:pPr>
            <w:r w:rsidRPr="003C4E5A">
              <w:t>O</w:t>
            </w:r>
            <w:r w:rsidR="002728FF">
              <w:t>S</w:t>
            </w:r>
            <w:r w:rsidRPr="003C4E5A">
              <w:t>MBSC 5</w:t>
            </w:r>
          </w:p>
        </w:tc>
        <w:tc>
          <w:tcPr>
            <w:tcW w:w="3321" w:type="dxa"/>
            <w:vAlign w:val="center"/>
          </w:tcPr>
          <w:p w:rsidR="00030B37" w:rsidRPr="003C4E5A"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2,166,412</w:t>
            </w:r>
          </w:p>
        </w:tc>
        <w:tc>
          <w:tcPr>
            <w:tcW w:w="3321" w:type="dxa"/>
            <w:vAlign w:val="center"/>
          </w:tcPr>
          <w:p w:rsidR="00030B37" w:rsidRPr="00030B37" w:rsidRDefault="003C4E5A"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3C4E5A">
              <w:rPr>
                <w:szCs w:val="20"/>
              </w:rPr>
              <w:t>7.7</w:t>
            </w:r>
          </w:p>
        </w:tc>
      </w:tr>
    </w:tbl>
    <w:p w:rsidR="006D266B" w:rsidRPr="00C90CE6" w:rsidRDefault="006D266B">
      <w:pPr>
        <w:spacing w:after="0"/>
        <w:rPr>
          <w:b/>
          <w:sz w:val="28"/>
        </w:rPr>
      </w:pPr>
      <w:bookmarkStart w:id="15" w:name="_Drug_and_Alcohol"/>
      <w:bookmarkEnd w:id="15"/>
      <w:r w:rsidRPr="00C90CE6">
        <w:br w:type="page"/>
      </w:r>
    </w:p>
    <w:p w:rsidR="00BA352B" w:rsidRPr="00C90CE6" w:rsidRDefault="00BA352B" w:rsidP="00BA352B">
      <w:pPr>
        <w:pStyle w:val="Heading1"/>
      </w:pPr>
      <w:bookmarkStart w:id="16" w:name="_Drug_and_Alcohol_1"/>
      <w:bookmarkEnd w:id="16"/>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9A6DEB" w:rsidRPr="00C90CE6" w:rsidRDefault="009A6DEB" w:rsidP="009A6DEB">
      <w:pPr>
        <w:pStyle w:val="Table-name"/>
      </w:pPr>
      <w:r w:rsidRPr="00C90CE6">
        <w:t xml:space="preserve">Table: Alcohol Testing </w:t>
      </w:r>
      <w:r w:rsidR="00754D4D">
        <w:t xml:space="preserve">September </w:t>
      </w:r>
      <w:r>
        <w:t>Quarter 2014</w:t>
      </w:r>
    </w:p>
    <w:tbl>
      <w:tblPr>
        <w:tblStyle w:val="TableClassic1"/>
        <w:tblW w:w="0" w:type="auto"/>
        <w:tblLook w:val="04A0" w:firstRow="1" w:lastRow="0" w:firstColumn="1" w:lastColumn="0" w:noHBand="0" w:noVBand="1"/>
        <w:tblCaption w:val="Table: Alcohol Testing June Quarter 2014"/>
      </w:tblPr>
      <w:tblGrid>
        <w:gridCol w:w="2490"/>
        <w:gridCol w:w="2490"/>
        <w:gridCol w:w="2491"/>
        <w:gridCol w:w="2491"/>
      </w:tblGrid>
      <w:tr w:rsidR="009A6DEB"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9A6DEB" w:rsidRPr="00C90CE6" w:rsidRDefault="009A6DEB" w:rsidP="0001213A">
            <w:pPr>
              <w:pStyle w:val="Table-Normal"/>
              <w:spacing w:before="20" w:after="20"/>
              <w:rPr>
                <w:sz w:val="22"/>
                <w:szCs w:val="22"/>
              </w:rPr>
            </w:pPr>
          </w:p>
        </w:tc>
        <w:tc>
          <w:tcPr>
            <w:tcW w:w="2490" w:type="dxa"/>
          </w:tcPr>
          <w:p w:rsidR="009A6DEB" w:rsidRPr="00C90CE6" w:rsidRDefault="009A6DEB"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9A6DEB" w:rsidRPr="00C90CE6" w:rsidRDefault="009A6DEB"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9A6DEB" w:rsidRPr="00C90CE6" w:rsidRDefault="009A6DEB"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6</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110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7</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168</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8</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108</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9</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147</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7F27D7" w:rsidRDefault="00754D4D" w:rsidP="00754D4D">
            <w:pPr>
              <w:pStyle w:val="Table-Normal"/>
              <w:rPr>
                <w:b/>
                <w:sz w:val="22"/>
                <w:szCs w:val="22"/>
              </w:rPr>
            </w:pPr>
            <w:r w:rsidRPr="007F27D7">
              <w:rPr>
                <w:b/>
                <w:sz w:val="22"/>
                <w:szCs w:val="22"/>
              </w:rPr>
              <w:t>Sydney Buses</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533</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O</w:t>
            </w:r>
            <w:r w:rsidR="002728FF">
              <w:rPr>
                <w:sz w:val="22"/>
                <w:szCs w:val="22"/>
              </w:rPr>
              <w:t>S</w:t>
            </w:r>
            <w:r w:rsidRPr="00C90CE6">
              <w:rPr>
                <w:sz w:val="22"/>
                <w:szCs w:val="22"/>
              </w:rPr>
              <w:t>MBSC 5</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70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bl>
    <w:p w:rsidR="009A6DEB" w:rsidRDefault="009A6DEB" w:rsidP="00F243BE">
      <w:pPr>
        <w:pStyle w:val="Table-name"/>
      </w:pPr>
    </w:p>
    <w:p w:rsidR="00F243BE" w:rsidRPr="00C90CE6" w:rsidRDefault="00F243BE" w:rsidP="00F243BE">
      <w:pPr>
        <w:pStyle w:val="Table-name"/>
      </w:pPr>
      <w:r w:rsidRPr="00C90CE6">
        <w:t>Table: Alcohol Testing</w:t>
      </w:r>
      <w:r w:rsidR="00754D4D">
        <w:t xml:space="preserve"> June</w:t>
      </w:r>
      <w:r w:rsidR="00316C2A">
        <w:t xml:space="preserve"> Quarter 2014</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bookmarkStart w:id="17" w:name="Title_AlcoholTesting_Mar2014"/>
            <w:bookmarkEnd w:id="17"/>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rPr>
            </w:pPr>
            <w:r w:rsidRPr="00C90CE6">
              <w:rPr>
                <w:sz w:val="22"/>
              </w:rPr>
              <w:t>Region 6</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176</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rPr>
            </w:pPr>
            <w:r w:rsidRPr="00C90CE6">
              <w:rPr>
                <w:sz w:val="22"/>
              </w:rPr>
              <w:t>Region 7</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58</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rPr>
            </w:pPr>
            <w:r w:rsidRPr="00C90CE6">
              <w:rPr>
                <w:sz w:val="22"/>
              </w:rPr>
              <w:t>Region 8</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145</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rPr>
            </w:pPr>
            <w:r w:rsidRPr="00C90CE6">
              <w:rPr>
                <w:sz w:val="22"/>
              </w:rPr>
              <w:t>Region 9</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51</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7F27D7" w:rsidRDefault="00754D4D" w:rsidP="00754D4D">
            <w:pPr>
              <w:pStyle w:val="Table-Normal"/>
              <w:spacing w:before="20"/>
              <w:rPr>
                <w:b/>
                <w:sz w:val="22"/>
              </w:rPr>
            </w:pPr>
            <w:r w:rsidRPr="007F27D7">
              <w:rPr>
                <w:b/>
                <w:sz w:val="22"/>
              </w:rPr>
              <w:t>Sydney Buses</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430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rPr>
            </w:pPr>
            <w:r w:rsidRPr="00C90CE6">
              <w:rPr>
                <w:sz w:val="22"/>
              </w:rPr>
              <w:t>O</w:t>
            </w:r>
            <w:r w:rsidR="002728FF">
              <w:rPr>
                <w:sz w:val="22"/>
              </w:rPr>
              <w:t>S</w:t>
            </w:r>
            <w:r w:rsidRPr="00C90CE6">
              <w:rPr>
                <w:sz w:val="22"/>
              </w:rPr>
              <w:t>MBSC 5</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56</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bl>
    <w:p w:rsidR="00F243BE" w:rsidRPr="00C90CE6" w:rsidRDefault="00F243BE" w:rsidP="00F243BE">
      <w:pPr>
        <w:pStyle w:val="Table-name"/>
      </w:pPr>
    </w:p>
    <w:p w:rsidR="00316C2A" w:rsidRPr="00C90CE6" w:rsidRDefault="00316C2A" w:rsidP="00316C2A">
      <w:pPr>
        <w:pStyle w:val="Table-name"/>
      </w:pPr>
      <w:bookmarkStart w:id="18" w:name="Title_AlcoholTesting_Dec2013"/>
      <w:bookmarkEnd w:id="18"/>
      <w:r w:rsidRPr="00C90CE6">
        <w:t xml:space="preserve">Table: Alcohol Testing </w:t>
      </w:r>
      <w:r w:rsidR="00754D4D">
        <w:t>September</w:t>
      </w:r>
      <w:r w:rsidR="00351F30">
        <w:t xml:space="preserve"> Quarter 2013</w:t>
      </w:r>
    </w:p>
    <w:tbl>
      <w:tblPr>
        <w:tblStyle w:val="TableClassic1"/>
        <w:tblW w:w="0" w:type="auto"/>
        <w:tblLook w:val="04A0" w:firstRow="1" w:lastRow="0" w:firstColumn="1" w:lastColumn="0" w:noHBand="0" w:noVBand="1"/>
        <w:tblCaption w:val="Table: Alcohol Testing June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19" w:name="Title_AlcoholTesting_Mar2013"/>
            <w:bookmarkEnd w:id="19"/>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6</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115</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7</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49</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8</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51</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9</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60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9A6DEB" w:rsidRDefault="00754D4D" w:rsidP="00754D4D">
            <w:pPr>
              <w:pStyle w:val="Table-Normal"/>
              <w:rPr>
                <w:b/>
                <w:sz w:val="22"/>
                <w:szCs w:val="22"/>
              </w:rPr>
            </w:pPr>
            <w:r w:rsidRPr="009A6DEB">
              <w:rPr>
                <w:b/>
                <w:sz w:val="22"/>
                <w:szCs w:val="22"/>
              </w:rPr>
              <w:t>Sydney Buses</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275</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O</w:t>
            </w:r>
            <w:r w:rsidR="002728FF">
              <w:rPr>
                <w:sz w:val="22"/>
                <w:szCs w:val="22"/>
              </w:rPr>
              <w:t>S</w:t>
            </w:r>
            <w:r w:rsidRPr="00C90CE6">
              <w:rPr>
                <w:sz w:val="22"/>
                <w:szCs w:val="22"/>
              </w:rPr>
              <w:t>MBSC 5</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40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bl>
    <w:p w:rsidR="00316C2A" w:rsidRPr="00C90CE6" w:rsidRDefault="00316C2A" w:rsidP="00F243BE">
      <w:pPr>
        <w:pStyle w:val="Table-name"/>
      </w:pPr>
    </w:p>
    <w:p w:rsidR="00011B73" w:rsidRPr="00C90CE6" w:rsidRDefault="00011B73" w:rsidP="00011B73">
      <w:pPr>
        <w:pStyle w:val="Table-name"/>
      </w:pPr>
      <w:r w:rsidRPr="00C90CE6">
        <w:t xml:space="preserve">Table: Drug Testing </w:t>
      </w:r>
      <w:r w:rsidR="00754D4D">
        <w:t>September</w:t>
      </w:r>
      <w:r>
        <w:t xml:space="preserve"> Quarter 2014</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011B73"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11B73" w:rsidRPr="00C90CE6" w:rsidRDefault="00011B73" w:rsidP="0001213A">
            <w:pPr>
              <w:pStyle w:val="Table-Normal"/>
              <w:spacing w:before="20" w:after="20"/>
              <w:rPr>
                <w:sz w:val="22"/>
                <w:szCs w:val="22"/>
              </w:rPr>
            </w:pPr>
            <w:bookmarkStart w:id="20" w:name="Title_DrugTesting_Dec2013"/>
            <w:bookmarkEnd w:id="20"/>
          </w:p>
        </w:tc>
        <w:tc>
          <w:tcPr>
            <w:tcW w:w="2490"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6</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14</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7</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51</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3</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5.88%</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8</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19</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9</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31</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Sydney Buses</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115</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3</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2.61%</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O</w:t>
            </w:r>
            <w:r w:rsidR="002728FF">
              <w:rPr>
                <w:sz w:val="22"/>
                <w:szCs w:val="22"/>
              </w:rPr>
              <w:t>S</w:t>
            </w:r>
            <w:r w:rsidRPr="00C90CE6">
              <w:rPr>
                <w:sz w:val="22"/>
                <w:szCs w:val="22"/>
              </w:rPr>
              <w:t>MBSC 5</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12</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bl>
    <w:p w:rsidR="00754D4D" w:rsidRDefault="00754D4D" w:rsidP="00011B73"/>
    <w:p w:rsidR="00754D4D" w:rsidRDefault="00754D4D">
      <w:pPr>
        <w:spacing w:after="0"/>
      </w:pPr>
      <w:r>
        <w:br w:type="page"/>
      </w:r>
    </w:p>
    <w:p w:rsidR="00F243BE" w:rsidRPr="00C90CE6" w:rsidRDefault="00F243BE" w:rsidP="00F243BE">
      <w:pPr>
        <w:pStyle w:val="Table-name"/>
      </w:pPr>
      <w:r w:rsidRPr="00C90CE6">
        <w:lastRenderedPageBreak/>
        <w:t xml:space="preserve">Table: Drug Testing </w:t>
      </w:r>
      <w:r w:rsidR="00754D4D">
        <w:t>June</w:t>
      </w:r>
      <w:r w:rsidR="00316C2A">
        <w:t xml:space="preserve"> Quarter 2014</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bookmarkStart w:id="21" w:name="Title_DrugTesting_Mar2014"/>
            <w:bookmarkEnd w:id="21"/>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szCs w:val="22"/>
              </w:rPr>
            </w:pPr>
            <w:r w:rsidRPr="00C90CE6">
              <w:rPr>
                <w:sz w:val="22"/>
                <w:szCs w:val="22"/>
              </w:rPr>
              <w:t>Region 6</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48</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2</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4.17%</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szCs w:val="22"/>
              </w:rPr>
            </w:pPr>
            <w:r w:rsidRPr="00C90CE6">
              <w:rPr>
                <w:sz w:val="22"/>
                <w:szCs w:val="22"/>
              </w:rPr>
              <w:t>Region 7</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34</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szCs w:val="22"/>
              </w:rPr>
            </w:pPr>
            <w:r w:rsidRPr="00C90CE6">
              <w:rPr>
                <w:sz w:val="22"/>
                <w:szCs w:val="22"/>
              </w:rPr>
              <w:t>Region 8</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33</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szCs w:val="22"/>
              </w:rPr>
            </w:pPr>
            <w:r w:rsidRPr="00C90CE6">
              <w:rPr>
                <w:sz w:val="22"/>
                <w:szCs w:val="22"/>
              </w:rPr>
              <w:t>Region 9</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9A6DEB" w:rsidRDefault="00754D4D" w:rsidP="00754D4D">
            <w:pPr>
              <w:pStyle w:val="Table-Normal"/>
              <w:spacing w:before="20"/>
              <w:rPr>
                <w:b/>
                <w:sz w:val="22"/>
                <w:szCs w:val="22"/>
              </w:rPr>
            </w:pPr>
            <w:r w:rsidRPr="009A6DEB">
              <w:rPr>
                <w:b/>
                <w:sz w:val="22"/>
                <w:szCs w:val="22"/>
              </w:rPr>
              <w:t>Sydney Buses</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125</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2</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1.60%</w:t>
            </w:r>
          </w:p>
        </w:tc>
      </w:tr>
      <w:tr w:rsidR="00754D4D" w:rsidRPr="00C90CE6" w:rsidTr="00D75CB9">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spacing w:before="20"/>
              <w:rPr>
                <w:sz w:val="22"/>
                <w:szCs w:val="22"/>
              </w:rPr>
            </w:pPr>
            <w:r w:rsidRPr="00C90CE6">
              <w:rPr>
                <w:sz w:val="22"/>
                <w:szCs w:val="22"/>
              </w:rPr>
              <w:t>O</w:t>
            </w:r>
            <w:r w:rsidR="002728FF">
              <w:rPr>
                <w:sz w:val="22"/>
                <w:szCs w:val="22"/>
              </w:rPr>
              <w:t>S</w:t>
            </w:r>
            <w:r w:rsidRPr="00C90CE6">
              <w:rPr>
                <w:sz w:val="22"/>
                <w:szCs w:val="22"/>
              </w:rPr>
              <w:t>MBSC 5</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21</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4.76%</w:t>
            </w:r>
          </w:p>
        </w:tc>
      </w:tr>
    </w:tbl>
    <w:p w:rsidR="00F243BE" w:rsidRPr="00C90CE6" w:rsidRDefault="00F243BE" w:rsidP="00F243BE">
      <w:pPr>
        <w:pStyle w:val="Table-name"/>
      </w:pPr>
    </w:p>
    <w:p w:rsidR="00316C2A" w:rsidRPr="00C90CE6" w:rsidRDefault="00316C2A" w:rsidP="00316C2A">
      <w:pPr>
        <w:pStyle w:val="Table-name"/>
      </w:pPr>
      <w:r w:rsidRPr="00C90CE6">
        <w:t xml:space="preserve">Table: Drug Testing </w:t>
      </w:r>
      <w:r w:rsidR="00754D4D">
        <w:t xml:space="preserve">September </w:t>
      </w:r>
      <w:r w:rsidRPr="00C90CE6">
        <w:t>Quarter 2013</w:t>
      </w:r>
    </w:p>
    <w:tbl>
      <w:tblPr>
        <w:tblStyle w:val="TableClassic1"/>
        <w:tblW w:w="0" w:type="auto"/>
        <w:tblLook w:val="04A0" w:firstRow="1" w:lastRow="0" w:firstColumn="1" w:lastColumn="0" w:noHBand="0" w:noVBand="1"/>
        <w:tblCaption w:val="Table: Drug Testing June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22" w:name="Title_DrugTesting_Mar2013"/>
            <w:bookmarkEnd w:id="22"/>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6</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20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7</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12</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8</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18</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Region 9</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27</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Sydney Buses</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77</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22"/>
                <w:szCs w:val="20"/>
              </w:rPr>
            </w:pPr>
            <w:r w:rsidRPr="00754D4D">
              <w:rPr>
                <w:b/>
                <w:bCs/>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r w:rsidR="00754D4D" w:rsidRPr="00C90CE6" w:rsidTr="00B61245">
        <w:tc>
          <w:tcPr>
            <w:cnfStyle w:val="001000000000" w:firstRow="0" w:lastRow="0" w:firstColumn="1" w:lastColumn="0" w:oddVBand="0" w:evenVBand="0" w:oddHBand="0" w:evenHBand="0" w:firstRowFirstColumn="0" w:firstRowLastColumn="0" w:lastRowFirstColumn="0" w:lastRowLastColumn="0"/>
            <w:tcW w:w="2490" w:type="dxa"/>
          </w:tcPr>
          <w:p w:rsidR="00754D4D" w:rsidRPr="00C90CE6" w:rsidRDefault="00754D4D" w:rsidP="00754D4D">
            <w:pPr>
              <w:pStyle w:val="Table-Normal"/>
              <w:rPr>
                <w:sz w:val="22"/>
                <w:szCs w:val="22"/>
              </w:rPr>
            </w:pPr>
            <w:r w:rsidRPr="00C90CE6">
              <w:rPr>
                <w:sz w:val="22"/>
                <w:szCs w:val="22"/>
              </w:rPr>
              <w:t>O</w:t>
            </w:r>
            <w:r w:rsidR="002728FF">
              <w:rPr>
                <w:sz w:val="22"/>
                <w:szCs w:val="22"/>
              </w:rPr>
              <w:t>S</w:t>
            </w:r>
            <w:r w:rsidRPr="00C90CE6">
              <w:rPr>
                <w:sz w:val="22"/>
                <w:szCs w:val="22"/>
              </w:rPr>
              <w:t>MBSC 5</w:t>
            </w:r>
          </w:p>
        </w:tc>
        <w:tc>
          <w:tcPr>
            <w:tcW w:w="2490"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16</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w:t>
            </w:r>
          </w:p>
        </w:tc>
        <w:tc>
          <w:tcPr>
            <w:tcW w:w="2491" w:type="dxa"/>
            <w:vAlign w:val="center"/>
          </w:tcPr>
          <w:p w:rsidR="00754D4D" w:rsidRPr="00754D4D" w:rsidRDefault="00754D4D" w:rsidP="00754D4D">
            <w:pPr>
              <w:spacing w:after="0"/>
              <w:jc w:val="center"/>
              <w:cnfStyle w:val="000000000000" w:firstRow="0" w:lastRow="0" w:firstColumn="0" w:lastColumn="0" w:oddVBand="0" w:evenVBand="0" w:oddHBand="0" w:evenHBand="0" w:firstRowFirstColumn="0" w:firstRowLastColumn="0" w:lastRowFirstColumn="0" w:lastRowLastColumn="0"/>
              <w:rPr>
                <w:color w:val="000000"/>
                <w:sz w:val="22"/>
                <w:szCs w:val="20"/>
              </w:rPr>
            </w:pPr>
            <w:r w:rsidRPr="00754D4D">
              <w:rPr>
                <w:color w:val="000000"/>
                <w:sz w:val="22"/>
                <w:szCs w:val="20"/>
              </w:rPr>
              <w:t>0.00%</w:t>
            </w:r>
          </w:p>
        </w:tc>
      </w:tr>
    </w:tbl>
    <w:p w:rsidR="00316C2A" w:rsidRPr="00C90CE6" w:rsidRDefault="00316C2A" w:rsidP="0082221C"/>
    <w:sectPr w:rsidR="00316C2A" w:rsidRPr="00C90CE6"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5F" w:rsidRDefault="00E55C5F" w:rsidP="003179AA">
      <w:r>
        <w:separator/>
      </w:r>
    </w:p>
  </w:endnote>
  <w:endnote w:type="continuationSeparator" w:id="0">
    <w:p w:rsidR="00E55C5F" w:rsidRDefault="00E55C5F"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5F" w:rsidRPr="007F27D7" w:rsidRDefault="00E55C5F">
    <w:pPr>
      <w:pStyle w:val="Footer"/>
      <w:rPr>
        <w:sz w:val="20"/>
      </w:rPr>
    </w:pPr>
    <w:r w:rsidRPr="007F27D7">
      <w:rPr>
        <w:sz w:val="20"/>
      </w:rPr>
      <w:t>State Transit Quarterly Performance Information –</w:t>
    </w:r>
    <w:r>
      <w:rPr>
        <w:sz w:val="20"/>
      </w:rPr>
      <w:t xml:space="preserve"> July to September </w:t>
    </w:r>
    <w:r w:rsidRPr="007F27D7">
      <w:rPr>
        <w:sz w:val="20"/>
      </w:rPr>
      <w:t>2014</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810EE2">
      <w:rPr>
        <w:noProof/>
        <w:sz w:val="20"/>
      </w:rPr>
      <w:t>12</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5F" w:rsidRDefault="00E55C5F" w:rsidP="003179AA">
      <w:r>
        <w:separator/>
      </w:r>
    </w:p>
  </w:footnote>
  <w:footnote w:type="continuationSeparator" w:id="0">
    <w:p w:rsidR="00E55C5F" w:rsidRDefault="00E55C5F"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6A41fZbxMXaXayOsJvr8q1jR3Y=" w:salt="QkEkKTwdwDZBlAZgSarEY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11B73"/>
    <w:rsid w:val="0001213A"/>
    <w:rsid w:val="0001481F"/>
    <w:rsid w:val="0002675E"/>
    <w:rsid w:val="00030B37"/>
    <w:rsid w:val="00040218"/>
    <w:rsid w:val="00051350"/>
    <w:rsid w:val="000548D9"/>
    <w:rsid w:val="00076CC0"/>
    <w:rsid w:val="00085133"/>
    <w:rsid w:val="000D1AB8"/>
    <w:rsid w:val="000F4613"/>
    <w:rsid w:val="00110BBC"/>
    <w:rsid w:val="00152E61"/>
    <w:rsid w:val="00164FC8"/>
    <w:rsid w:val="00165807"/>
    <w:rsid w:val="001F4498"/>
    <w:rsid w:val="00204C0D"/>
    <w:rsid w:val="00213933"/>
    <w:rsid w:val="00214873"/>
    <w:rsid w:val="0023171A"/>
    <w:rsid w:val="0024643C"/>
    <w:rsid w:val="00255125"/>
    <w:rsid w:val="002728FF"/>
    <w:rsid w:val="00274541"/>
    <w:rsid w:val="002C5046"/>
    <w:rsid w:val="002D3F46"/>
    <w:rsid w:val="00316C2A"/>
    <w:rsid w:val="003179AA"/>
    <w:rsid w:val="00317DE0"/>
    <w:rsid w:val="00351F30"/>
    <w:rsid w:val="003973C9"/>
    <w:rsid w:val="003C4E5A"/>
    <w:rsid w:val="003D0617"/>
    <w:rsid w:val="003D2C5B"/>
    <w:rsid w:val="003E456D"/>
    <w:rsid w:val="003E540C"/>
    <w:rsid w:val="00436CC7"/>
    <w:rsid w:val="0045036E"/>
    <w:rsid w:val="00450BEE"/>
    <w:rsid w:val="004648C9"/>
    <w:rsid w:val="004763FC"/>
    <w:rsid w:val="004E03C5"/>
    <w:rsid w:val="004E7EE0"/>
    <w:rsid w:val="004F1281"/>
    <w:rsid w:val="004F310B"/>
    <w:rsid w:val="00554EC7"/>
    <w:rsid w:val="00556E55"/>
    <w:rsid w:val="0056256E"/>
    <w:rsid w:val="005B2B01"/>
    <w:rsid w:val="005D5271"/>
    <w:rsid w:val="00602E8A"/>
    <w:rsid w:val="0063029E"/>
    <w:rsid w:val="00670752"/>
    <w:rsid w:val="006A0A98"/>
    <w:rsid w:val="006D1C47"/>
    <w:rsid w:val="006D266B"/>
    <w:rsid w:val="006D4A3D"/>
    <w:rsid w:val="006D5F0B"/>
    <w:rsid w:val="006E2F44"/>
    <w:rsid w:val="00715AC5"/>
    <w:rsid w:val="00725FCF"/>
    <w:rsid w:val="00754D4D"/>
    <w:rsid w:val="007F27D7"/>
    <w:rsid w:val="00803DBC"/>
    <w:rsid w:val="00810EE2"/>
    <w:rsid w:val="0082221C"/>
    <w:rsid w:val="008449EF"/>
    <w:rsid w:val="008B3BBE"/>
    <w:rsid w:val="00911E75"/>
    <w:rsid w:val="009128FF"/>
    <w:rsid w:val="00926014"/>
    <w:rsid w:val="009A6DEB"/>
    <w:rsid w:val="009E4D30"/>
    <w:rsid w:val="009F7FEE"/>
    <w:rsid w:val="00A163A1"/>
    <w:rsid w:val="00A75215"/>
    <w:rsid w:val="00AC7419"/>
    <w:rsid w:val="00B111A9"/>
    <w:rsid w:val="00B11C16"/>
    <w:rsid w:val="00B1676A"/>
    <w:rsid w:val="00B61245"/>
    <w:rsid w:val="00B97893"/>
    <w:rsid w:val="00BA352B"/>
    <w:rsid w:val="00BB2214"/>
    <w:rsid w:val="00BE64B9"/>
    <w:rsid w:val="00C11E3A"/>
    <w:rsid w:val="00C2038E"/>
    <w:rsid w:val="00C23B49"/>
    <w:rsid w:val="00C72B03"/>
    <w:rsid w:val="00C90CE6"/>
    <w:rsid w:val="00CC1030"/>
    <w:rsid w:val="00CC4476"/>
    <w:rsid w:val="00D02BB7"/>
    <w:rsid w:val="00D1412F"/>
    <w:rsid w:val="00D24E5A"/>
    <w:rsid w:val="00D75CB9"/>
    <w:rsid w:val="00DC7DA9"/>
    <w:rsid w:val="00DD0221"/>
    <w:rsid w:val="00DD70EA"/>
    <w:rsid w:val="00DF6F85"/>
    <w:rsid w:val="00E42C60"/>
    <w:rsid w:val="00E55C5F"/>
    <w:rsid w:val="00E723DB"/>
    <w:rsid w:val="00E92C77"/>
    <w:rsid w:val="00EA3248"/>
    <w:rsid w:val="00EA5C74"/>
    <w:rsid w:val="00EC441B"/>
    <w:rsid w:val="00EC5828"/>
    <w:rsid w:val="00ED5583"/>
    <w:rsid w:val="00F243BE"/>
    <w:rsid w:val="00F4494E"/>
    <w:rsid w:val="00F708BF"/>
    <w:rsid w:val="00FB2CFA"/>
    <w:rsid w:val="00FC6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43277842">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9B5A-A39F-4CB1-A806-75FEBC6C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B908BAAC</Template>
  <TotalTime>187</TotalTime>
  <Pages>12</Pages>
  <Words>2149</Words>
  <Characters>11743</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9</cp:revision>
  <cp:lastPrinted>2015-01-12T02:57:00Z</cp:lastPrinted>
  <dcterms:created xsi:type="dcterms:W3CDTF">2014-11-05T00:14:00Z</dcterms:created>
  <dcterms:modified xsi:type="dcterms:W3CDTF">2015-03-10T20:43:00Z</dcterms:modified>
</cp:coreProperties>
</file>