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BD9E1" w14:textId="35196D6A" w:rsidR="009B12BA" w:rsidRDefault="00894E5A" w:rsidP="0029095C">
      <w:pPr>
        <w:pStyle w:val="Title"/>
        <w:tabs>
          <w:tab w:val="clear" w:pos="851"/>
          <w:tab w:val="left" w:pos="0"/>
        </w:tabs>
        <w:spacing w:after="40"/>
        <w:ind w:left="0"/>
      </w:pPr>
      <w:bookmarkStart w:id="0" w:name="_GoBack"/>
      <w:r>
        <w:t>Transport Disability Incentives and Subsidies Review</w:t>
      </w:r>
    </w:p>
    <w:bookmarkEnd w:id="0"/>
    <w:p w14:paraId="7C826706" w14:textId="77777777" w:rsidR="00F8758B" w:rsidRPr="00F8758B" w:rsidRDefault="00894E5A" w:rsidP="0029095C">
      <w:pPr>
        <w:pStyle w:val="Subtitle"/>
        <w:tabs>
          <w:tab w:val="clear" w:pos="851"/>
          <w:tab w:val="left" w:pos="0"/>
        </w:tabs>
        <w:ind w:left="0"/>
        <w:rPr>
          <w:b/>
        </w:rPr>
      </w:pPr>
      <w:r>
        <w:t>Findings</w:t>
      </w:r>
    </w:p>
    <w:p w14:paraId="31B74CAA" w14:textId="77777777" w:rsidR="006D0C3D" w:rsidRDefault="006D0C3D" w:rsidP="0029095C">
      <w:pPr>
        <w:pStyle w:val="Subtitle"/>
        <w:tabs>
          <w:tab w:val="clear" w:pos="851"/>
          <w:tab w:val="left" w:pos="0"/>
        </w:tabs>
        <w:ind w:left="0"/>
      </w:pPr>
    </w:p>
    <w:p w14:paraId="6004D66B" w14:textId="77777777" w:rsidR="006D0C3D" w:rsidRDefault="006D0C3D" w:rsidP="0029095C">
      <w:pPr>
        <w:spacing w:before="0" w:after="0"/>
        <w:rPr>
          <w:rFonts w:cs="Arial"/>
          <w:color w:val="000000" w:themeColor="text1"/>
          <w:sz w:val="40"/>
          <w:szCs w:val="48"/>
        </w:rPr>
      </w:pPr>
      <w:r>
        <w:br w:type="page"/>
      </w:r>
    </w:p>
    <w:p w14:paraId="34A2BDB5" w14:textId="77777777" w:rsidR="0034318C" w:rsidRPr="0066748D" w:rsidRDefault="0034318C" w:rsidP="0029095C">
      <w:pPr>
        <w:pStyle w:val="Subtitle"/>
        <w:rPr>
          <w:bCs/>
          <w:szCs w:val="32"/>
        </w:rPr>
      </w:pPr>
      <w:r w:rsidRPr="0066748D">
        <w:rPr>
          <w:bCs/>
          <w:szCs w:val="32"/>
        </w:rPr>
        <w:lastRenderedPageBreak/>
        <w:t>Contents</w:t>
      </w:r>
    </w:p>
    <w:p w14:paraId="1693FE57" w14:textId="77777777" w:rsidR="00672D40" w:rsidRDefault="00BB3211">
      <w:pPr>
        <w:pStyle w:val="TOC1"/>
        <w:rPr>
          <w:rFonts w:asciiTheme="minorHAnsi" w:eastAsiaTheme="minorEastAsia" w:hAnsiTheme="minorHAnsi" w:cstheme="minorBidi"/>
          <w:noProof/>
          <w:lang w:eastAsia="en-AU"/>
        </w:rPr>
      </w:pPr>
      <w:r w:rsidRPr="002F010F">
        <w:fldChar w:fldCharType="begin"/>
      </w:r>
      <w:r w:rsidR="0034318C" w:rsidRPr="002F010F">
        <w:instrText xml:space="preserve"> TOC \o "1-3" \h \z \u </w:instrText>
      </w:r>
      <w:r w:rsidRPr="002F010F">
        <w:fldChar w:fldCharType="separate"/>
      </w:r>
      <w:hyperlink w:anchor="_Toc21956248" w:history="1">
        <w:r w:rsidR="00672D40" w:rsidRPr="00EB0971">
          <w:rPr>
            <w:rStyle w:val="Hyperlink"/>
            <w:noProof/>
          </w:rPr>
          <w:t>1</w:t>
        </w:r>
        <w:r w:rsidR="00672D40">
          <w:rPr>
            <w:rFonts w:asciiTheme="minorHAnsi" w:eastAsiaTheme="minorEastAsia" w:hAnsiTheme="minorHAnsi" w:cstheme="minorBidi"/>
            <w:noProof/>
            <w:lang w:eastAsia="en-AU"/>
          </w:rPr>
          <w:tab/>
        </w:r>
        <w:r w:rsidR="00672D40" w:rsidRPr="00EB0971">
          <w:rPr>
            <w:rStyle w:val="Hyperlink"/>
            <w:noProof/>
          </w:rPr>
          <w:t>Introduction</w:t>
        </w:r>
        <w:r w:rsidR="00672D40">
          <w:rPr>
            <w:noProof/>
            <w:webHidden/>
          </w:rPr>
          <w:tab/>
        </w:r>
        <w:r w:rsidR="00672D40">
          <w:rPr>
            <w:noProof/>
            <w:webHidden/>
          </w:rPr>
          <w:fldChar w:fldCharType="begin"/>
        </w:r>
        <w:r w:rsidR="00672D40">
          <w:rPr>
            <w:noProof/>
            <w:webHidden/>
          </w:rPr>
          <w:instrText xml:space="preserve"> PAGEREF _Toc21956248 \h </w:instrText>
        </w:r>
        <w:r w:rsidR="00672D40">
          <w:rPr>
            <w:noProof/>
            <w:webHidden/>
          </w:rPr>
        </w:r>
        <w:r w:rsidR="00672D40">
          <w:rPr>
            <w:noProof/>
            <w:webHidden/>
          </w:rPr>
          <w:fldChar w:fldCharType="separate"/>
        </w:r>
        <w:r w:rsidR="004A31FF">
          <w:rPr>
            <w:noProof/>
            <w:webHidden/>
          </w:rPr>
          <w:t>3</w:t>
        </w:r>
        <w:r w:rsidR="00672D40">
          <w:rPr>
            <w:noProof/>
            <w:webHidden/>
          </w:rPr>
          <w:fldChar w:fldCharType="end"/>
        </w:r>
      </w:hyperlink>
    </w:p>
    <w:p w14:paraId="469116F1" w14:textId="77777777" w:rsidR="00672D40" w:rsidRDefault="00C777CB">
      <w:pPr>
        <w:pStyle w:val="TOC1"/>
        <w:rPr>
          <w:rFonts w:asciiTheme="minorHAnsi" w:eastAsiaTheme="minorEastAsia" w:hAnsiTheme="minorHAnsi" w:cstheme="minorBidi"/>
          <w:noProof/>
          <w:lang w:eastAsia="en-AU"/>
        </w:rPr>
      </w:pPr>
      <w:hyperlink w:anchor="_Toc21956249" w:history="1">
        <w:r w:rsidR="00672D40" w:rsidRPr="00EB0971">
          <w:rPr>
            <w:rStyle w:val="Hyperlink"/>
            <w:noProof/>
          </w:rPr>
          <w:t>2</w:t>
        </w:r>
        <w:r w:rsidR="00672D40">
          <w:rPr>
            <w:rFonts w:asciiTheme="minorHAnsi" w:eastAsiaTheme="minorEastAsia" w:hAnsiTheme="minorHAnsi" w:cstheme="minorBidi"/>
            <w:noProof/>
            <w:lang w:eastAsia="en-AU"/>
          </w:rPr>
          <w:tab/>
        </w:r>
        <w:r w:rsidR="00672D40" w:rsidRPr="00EB0971">
          <w:rPr>
            <w:rStyle w:val="Hyperlink"/>
            <w:noProof/>
          </w:rPr>
          <w:t>Terms of Reference</w:t>
        </w:r>
        <w:r w:rsidR="00672D40">
          <w:rPr>
            <w:noProof/>
            <w:webHidden/>
          </w:rPr>
          <w:tab/>
        </w:r>
        <w:r w:rsidR="00672D40">
          <w:rPr>
            <w:noProof/>
            <w:webHidden/>
          </w:rPr>
          <w:fldChar w:fldCharType="begin"/>
        </w:r>
        <w:r w:rsidR="00672D40">
          <w:rPr>
            <w:noProof/>
            <w:webHidden/>
          </w:rPr>
          <w:instrText xml:space="preserve"> PAGEREF _Toc21956249 \h </w:instrText>
        </w:r>
        <w:r w:rsidR="00672D40">
          <w:rPr>
            <w:noProof/>
            <w:webHidden/>
          </w:rPr>
        </w:r>
        <w:r w:rsidR="00672D40">
          <w:rPr>
            <w:noProof/>
            <w:webHidden/>
          </w:rPr>
          <w:fldChar w:fldCharType="separate"/>
        </w:r>
        <w:r w:rsidR="004A31FF">
          <w:rPr>
            <w:noProof/>
            <w:webHidden/>
          </w:rPr>
          <w:t>4</w:t>
        </w:r>
        <w:r w:rsidR="00672D40">
          <w:rPr>
            <w:noProof/>
            <w:webHidden/>
          </w:rPr>
          <w:fldChar w:fldCharType="end"/>
        </w:r>
      </w:hyperlink>
    </w:p>
    <w:p w14:paraId="4729E308" w14:textId="77777777" w:rsidR="00672D40" w:rsidRDefault="00C777CB">
      <w:pPr>
        <w:pStyle w:val="TOC2"/>
        <w:rPr>
          <w:rFonts w:asciiTheme="minorHAnsi" w:eastAsiaTheme="minorEastAsia" w:hAnsiTheme="minorHAnsi" w:cstheme="minorBidi"/>
          <w:noProof/>
          <w:szCs w:val="22"/>
          <w:lang w:eastAsia="en-AU"/>
        </w:rPr>
      </w:pPr>
      <w:hyperlink w:anchor="_Toc21956250" w:history="1">
        <w:r w:rsidR="00672D40" w:rsidRPr="00EB0971">
          <w:rPr>
            <w:rStyle w:val="Hyperlink"/>
            <w:noProof/>
          </w:rPr>
          <w:t>Purpose</w:t>
        </w:r>
        <w:r w:rsidR="00672D40">
          <w:rPr>
            <w:noProof/>
            <w:webHidden/>
          </w:rPr>
          <w:tab/>
        </w:r>
        <w:r w:rsidR="00672D40">
          <w:rPr>
            <w:noProof/>
            <w:webHidden/>
          </w:rPr>
          <w:fldChar w:fldCharType="begin"/>
        </w:r>
        <w:r w:rsidR="00672D40">
          <w:rPr>
            <w:noProof/>
            <w:webHidden/>
          </w:rPr>
          <w:instrText xml:space="preserve"> PAGEREF _Toc21956250 \h </w:instrText>
        </w:r>
        <w:r w:rsidR="00672D40">
          <w:rPr>
            <w:noProof/>
            <w:webHidden/>
          </w:rPr>
        </w:r>
        <w:r w:rsidR="00672D40">
          <w:rPr>
            <w:noProof/>
            <w:webHidden/>
          </w:rPr>
          <w:fldChar w:fldCharType="separate"/>
        </w:r>
        <w:r w:rsidR="004A31FF">
          <w:rPr>
            <w:noProof/>
            <w:webHidden/>
          </w:rPr>
          <w:t>4</w:t>
        </w:r>
        <w:r w:rsidR="00672D40">
          <w:rPr>
            <w:noProof/>
            <w:webHidden/>
          </w:rPr>
          <w:fldChar w:fldCharType="end"/>
        </w:r>
      </w:hyperlink>
    </w:p>
    <w:p w14:paraId="2CF78EB0" w14:textId="77777777" w:rsidR="00672D40" w:rsidRDefault="00C777CB">
      <w:pPr>
        <w:pStyle w:val="TOC2"/>
        <w:rPr>
          <w:rFonts w:asciiTheme="minorHAnsi" w:eastAsiaTheme="minorEastAsia" w:hAnsiTheme="minorHAnsi" w:cstheme="minorBidi"/>
          <w:noProof/>
          <w:szCs w:val="22"/>
          <w:lang w:eastAsia="en-AU"/>
        </w:rPr>
      </w:pPr>
      <w:hyperlink w:anchor="_Toc21956251" w:history="1">
        <w:r w:rsidR="00672D40" w:rsidRPr="00EB0971">
          <w:rPr>
            <w:rStyle w:val="Hyperlink"/>
            <w:noProof/>
          </w:rPr>
          <w:t>Scope of the Review</w:t>
        </w:r>
        <w:r w:rsidR="00672D40">
          <w:rPr>
            <w:noProof/>
            <w:webHidden/>
          </w:rPr>
          <w:tab/>
        </w:r>
        <w:r w:rsidR="00672D40">
          <w:rPr>
            <w:noProof/>
            <w:webHidden/>
          </w:rPr>
          <w:fldChar w:fldCharType="begin"/>
        </w:r>
        <w:r w:rsidR="00672D40">
          <w:rPr>
            <w:noProof/>
            <w:webHidden/>
          </w:rPr>
          <w:instrText xml:space="preserve"> PAGEREF _Toc21956251 \h </w:instrText>
        </w:r>
        <w:r w:rsidR="00672D40">
          <w:rPr>
            <w:noProof/>
            <w:webHidden/>
          </w:rPr>
        </w:r>
        <w:r w:rsidR="00672D40">
          <w:rPr>
            <w:noProof/>
            <w:webHidden/>
          </w:rPr>
          <w:fldChar w:fldCharType="separate"/>
        </w:r>
        <w:r w:rsidR="004A31FF">
          <w:rPr>
            <w:noProof/>
            <w:webHidden/>
          </w:rPr>
          <w:t>4</w:t>
        </w:r>
        <w:r w:rsidR="00672D40">
          <w:rPr>
            <w:noProof/>
            <w:webHidden/>
          </w:rPr>
          <w:fldChar w:fldCharType="end"/>
        </w:r>
      </w:hyperlink>
    </w:p>
    <w:p w14:paraId="3029B52E" w14:textId="77777777" w:rsidR="00672D40" w:rsidRDefault="00C777CB">
      <w:pPr>
        <w:pStyle w:val="TOC2"/>
        <w:rPr>
          <w:rFonts w:asciiTheme="minorHAnsi" w:eastAsiaTheme="minorEastAsia" w:hAnsiTheme="minorHAnsi" w:cstheme="minorBidi"/>
          <w:noProof/>
          <w:szCs w:val="22"/>
          <w:lang w:eastAsia="en-AU"/>
        </w:rPr>
      </w:pPr>
      <w:hyperlink w:anchor="_Toc21956252" w:history="1">
        <w:r w:rsidR="00672D40" w:rsidRPr="00EB0971">
          <w:rPr>
            <w:rStyle w:val="Hyperlink"/>
            <w:noProof/>
          </w:rPr>
          <w:t>Consultation</w:t>
        </w:r>
        <w:r w:rsidR="00672D40">
          <w:rPr>
            <w:noProof/>
            <w:webHidden/>
          </w:rPr>
          <w:tab/>
        </w:r>
        <w:r w:rsidR="00672D40">
          <w:rPr>
            <w:noProof/>
            <w:webHidden/>
          </w:rPr>
          <w:fldChar w:fldCharType="begin"/>
        </w:r>
        <w:r w:rsidR="00672D40">
          <w:rPr>
            <w:noProof/>
            <w:webHidden/>
          </w:rPr>
          <w:instrText xml:space="preserve"> PAGEREF _Toc21956252 \h </w:instrText>
        </w:r>
        <w:r w:rsidR="00672D40">
          <w:rPr>
            <w:noProof/>
            <w:webHidden/>
          </w:rPr>
        </w:r>
        <w:r w:rsidR="00672D40">
          <w:rPr>
            <w:noProof/>
            <w:webHidden/>
          </w:rPr>
          <w:fldChar w:fldCharType="separate"/>
        </w:r>
        <w:r w:rsidR="004A31FF">
          <w:rPr>
            <w:noProof/>
            <w:webHidden/>
          </w:rPr>
          <w:t>5</w:t>
        </w:r>
        <w:r w:rsidR="00672D40">
          <w:rPr>
            <w:noProof/>
            <w:webHidden/>
          </w:rPr>
          <w:fldChar w:fldCharType="end"/>
        </w:r>
      </w:hyperlink>
    </w:p>
    <w:p w14:paraId="4B1864E0" w14:textId="77777777" w:rsidR="00672D40" w:rsidRDefault="00C777CB">
      <w:pPr>
        <w:pStyle w:val="TOC2"/>
        <w:rPr>
          <w:rFonts w:asciiTheme="minorHAnsi" w:eastAsiaTheme="minorEastAsia" w:hAnsiTheme="minorHAnsi" w:cstheme="minorBidi"/>
          <w:noProof/>
          <w:szCs w:val="22"/>
          <w:lang w:eastAsia="en-AU"/>
        </w:rPr>
      </w:pPr>
      <w:hyperlink w:anchor="_Toc21956253" w:history="1">
        <w:r w:rsidR="00672D40" w:rsidRPr="00EB0971">
          <w:rPr>
            <w:rStyle w:val="Hyperlink"/>
            <w:noProof/>
          </w:rPr>
          <w:t>Methodology</w:t>
        </w:r>
        <w:r w:rsidR="00672D40">
          <w:rPr>
            <w:noProof/>
            <w:webHidden/>
          </w:rPr>
          <w:tab/>
        </w:r>
        <w:r w:rsidR="00672D40">
          <w:rPr>
            <w:noProof/>
            <w:webHidden/>
          </w:rPr>
          <w:fldChar w:fldCharType="begin"/>
        </w:r>
        <w:r w:rsidR="00672D40">
          <w:rPr>
            <w:noProof/>
            <w:webHidden/>
          </w:rPr>
          <w:instrText xml:space="preserve"> PAGEREF _Toc21956253 \h </w:instrText>
        </w:r>
        <w:r w:rsidR="00672D40">
          <w:rPr>
            <w:noProof/>
            <w:webHidden/>
          </w:rPr>
        </w:r>
        <w:r w:rsidR="00672D40">
          <w:rPr>
            <w:noProof/>
            <w:webHidden/>
          </w:rPr>
          <w:fldChar w:fldCharType="separate"/>
        </w:r>
        <w:r w:rsidR="004A31FF">
          <w:rPr>
            <w:noProof/>
            <w:webHidden/>
          </w:rPr>
          <w:t>5</w:t>
        </w:r>
        <w:r w:rsidR="00672D40">
          <w:rPr>
            <w:noProof/>
            <w:webHidden/>
          </w:rPr>
          <w:fldChar w:fldCharType="end"/>
        </w:r>
      </w:hyperlink>
    </w:p>
    <w:p w14:paraId="01E2C3F0" w14:textId="77777777" w:rsidR="00672D40" w:rsidRDefault="00C777CB">
      <w:pPr>
        <w:pStyle w:val="TOC1"/>
        <w:rPr>
          <w:rFonts w:asciiTheme="minorHAnsi" w:eastAsiaTheme="minorEastAsia" w:hAnsiTheme="minorHAnsi" w:cstheme="minorBidi"/>
          <w:noProof/>
          <w:lang w:eastAsia="en-AU"/>
        </w:rPr>
      </w:pPr>
      <w:hyperlink w:anchor="_Toc21956254" w:history="1">
        <w:r w:rsidR="00672D40" w:rsidRPr="00EB0971">
          <w:rPr>
            <w:rStyle w:val="Hyperlink"/>
            <w:noProof/>
          </w:rPr>
          <w:t>3</w:t>
        </w:r>
        <w:r w:rsidR="00672D40">
          <w:rPr>
            <w:rFonts w:asciiTheme="minorHAnsi" w:eastAsiaTheme="minorEastAsia" w:hAnsiTheme="minorHAnsi" w:cstheme="minorBidi"/>
            <w:noProof/>
            <w:lang w:eastAsia="en-AU"/>
          </w:rPr>
          <w:tab/>
        </w:r>
        <w:r w:rsidR="00672D40" w:rsidRPr="00EB0971">
          <w:rPr>
            <w:rStyle w:val="Hyperlink"/>
            <w:noProof/>
          </w:rPr>
          <w:t>Findings</w:t>
        </w:r>
        <w:r w:rsidR="00672D40">
          <w:rPr>
            <w:noProof/>
            <w:webHidden/>
          </w:rPr>
          <w:tab/>
        </w:r>
        <w:r w:rsidR="00672D40">
          <w:rPr>
            <w:noProof/>
            <w:webHidden/>
          </w:rPr>
          <w:fldChar w:fldCharType="begin"/>
        </w:r>
        <w:r w:rsidR="00672D40">
          <w:rPr>
            <w:noProof/>
            <w:webHidden/>
          </w:rPr>
          <w:instrText xml:space="preserve"> PAGEREF _Toc21956254 \h </w:instrText>
        </w:r>
        <w:r w:rsidR="00672D40">
          <w:rPr>
            <w:noProof/>
            <w:webHidden/>
          </w:rPr>
        </w:r>
        <w:r w:rsidR="00672D40">
          <w:rPr>
            <w:noProof/>
            <w:webHidden/>
          </w:rPr>
          <w:fldChar w:fldCharType="separate"/>
        </w:r>
        <w:r w:rsidR="004A31FF">
          <w:rPr>
            <w:noProof/>
            <w:webHidden/>
          </w:rPr>
          <w:t>6</w:t>
        </w:r>
        <w:r w:rsidR="00672D40">
          <w:rPr>
            <w:noProof/>
            <w:webHidden/>
          </w:rPr>
          <w:fldChar w:fldCharType="end"/>
        </w:r>
      </w:hyperlink>
    </w:p>
    <w:p w14:paraId="73838A81" w14:textId="77777777" w:rsidR="00672D40" w:rsidRDefault="00C777CB">
      <w:pPr>
        <w:pStyle w:val="TOC2"/>
        <w:rPr>
          <w:rFonts w:asciiTheme="minorHAnsi" w:eastAsiaTheme="minorEastAsia" w:hAnsiTheme="minorHAnsi" w:cstheme="minorBidi"/>
          <w:noProof/>
          <w:szCs w:val="22"/>
          <w:lang w:eastAsia="en-AU"/>
        </w:rPr>
      </w:pPr>
      <w:hyperlink w:anchor="_Toc21956255" w:history="1">
        <w:r w:rsidR="00672D40" w:rsidRPr="00EB0971">
          <w:rPr>
            <w:rStyle w:val="Hyperlink"/>
            <w:noProof/>
          </w:rPr>
          <w:t>3.1</w:t>
        </w:r>
        <w:r w:rsidR="00672D40">
          <w:rPr>
            <w:rFonts w:asciiTheme="minorHAnsi" w:eastAsiaTheme="minorEastAsia" w:hAnsiTheme="minorHAnsi" w:cstheme="minorBidi"/>
            <w:noProof/>
            <w:szCs w:val="22"/>
            <w:lang w:eastAsia="en-AU"/>
          </w:rPr>
          <w:tab/>
        </w:r>
        <w:r w:rsidR="00672D40" w:rsidRPr="00EB0971">
          <w:rPr>
            <w:rStyle w:val="Hyperlink"/>
            <w:noProof/>
          </w:rPr>
          <w:t>Taxi Transport Subsidy Scheme</w:t>
        </w:r>
        <w:r w:rsidR="00672D40">
          <w:rPr>
            <w:noProof/>
            <w:webHidden/>
          </w:rPr>
          <w:tab/>
        </w:r>
        <w:r w:rsidR="00672D40">
          <w:rPr>
            <w:noProof/>
            <w:webHidden/>
          </w:rPr>
          <w:fldChar w:fldCharType="begin"/>
        </w:r>
        <w:r w:rsidR="00672D40">
          <w:rPr>
            <w:noProof/>
            <w:webHidden/>
          </w:rPr>
          <w:instrText xml:space="preserve"> PAGEREF _Toc21956255 \h </w:instrText>
        </w:r>
        <w:r w:rsidR="00672D40">
          <w:rPr>
            <w:noProof/>
            <w:webHidden/>
          </w:rPr>
        </w:r>
        <w:r w:rsidR="00672D40">
          <w:rPr>
            <w:noProof/>
            <w:webHidden/>
          </w:rPr>
          <w:fldChar w:fldCharType="separate"/>
        </w:r>
        <w:r w:rsidR="004A31FF">
          <w:rPr>
            <w:noProof/>
            <w:webHidden/>
          </w:rPr>
          <w:t>6</w:t>
        </w:r>
        <w:r w:rsidR="00672D40">
          <w:rPr>
            <w:noProof/>
            <w:webHidden/>
          </w:rPr>
          <w:fldChar w:fldCharType="end"/>
        </w:r>
      </w:hyperlink>
    </w:p>
    <w:p w14:paraId="1865592D" w14:textId="77777777" w:rsidR="00672D40" w:rsidRDefault="00C777CB">
      <w:pPr>
        <w:pStyle w:val="TOC3"/>
        <w:rPr>
          <w:rFonts w:asciiTheme="minorHAnsi" w:eastAsiaTheme="minorEastAsia" w:hAnsiTheme="minorHAnsi" w:cstheme="minorBidi"/>
          <w:noProof/>
          <w:szCs w:val="22"/>
          <w:lang w:eastAsia="en-AU"/>
        </w:rPr>
      </w:pPr>
      <w:hyperlink w:anchor="_Toc21956256" w:history="1">
        <w:r w:rsidR="00672D40" w:rsidRPr="00EB0971">
          <w:rPr>
            <w:rStyle w:val="Hyperlink"/>
            <w:noProof/>
          </w:rPr>
          <w:t>3.1.1</w:t>
        </w:r>
        <w:r w:rsidR="00672D40">
          <w:rPr>
            <w:rFonts w:asciiTheme="minorHAnsi" w:eastAsiaTheme="minorEastAsia" w:hAnsiTheme="minorHAnsi" w:cstheme="minorBidi"/>
            <w:noProof/>
            <w:szCs w:val="22"/>
            <w:lang w:eastAsia="en-AU"/>
          </w:rPr>
          <w:tab/>
        </w:r>
        <w:r w:rsidR="00672D40" w:rsidRPr="00EB0971">
          <w:rPr>
            <w:rStyle w:val="Hyperlink"/>
            <w:noProof/>
          </w:rPr>
          <w:t>Feedback on eligibility criteria</w:t>
        </w:r>
        <w:r w:rsidR="00672D40">
          <w:rPr>
            <w:noProof/>
            <w:webHidden/>
          </w:rPr>
          <w:tab/>
        </w:r>
        <w:r w:rsidR="00672D40">
          <w:rPr>
            <w:noProof/>
            <w:webHidden/>
          </w:rPr>
          <w:fldChar w:fldCharType="begin"/>
        </w:r>
        <w:r w:rsidR="00672D40">
          <w:rPr>
            <w:noProof/>
            <w:webHidden/>
          </w:rPr>
          <w:instrText xml:space="preserve"> PAGEREF _Toc21956256 \h </w:instrText>
        </w:r>
        <w:r w:rsidR="00672D40">
          <w:rPr>
            <w:noProof/>
            <w:webHidden/>
          </w:rPr>
        </w:r>
        <w:r w:rsidR="00672D40">
          <w:rPr>
            <w:noProof/>
            <w:webHidden/>
          </w:rPr>
          <w:fldChar w:fldCharType="separate"/>
        </w:r>
        <w:r w:rsidR="004A31FF">
          <w:rPr>
            <w:noProof/>
            <w:webHidden/>
          </w:rPr>
          <w:t>7</w:t>
        </w:r>
        <w:r w:rsidR="00672D40">
          <w:rPr>
            <w:noProof/>
            <w:webHidden/>
          </w:rPr>
          <w:fldChar w:fldCharType="end"/>
        </w:r>
      </w:hyperlink>
    </w:p>
    <w:p w14:paraId="031AC388" w14:textId="77777777" w:rsidR="00672D40" w:rsidRDefault="00C777CB">
      <w:pPr>
        <w:pStyle w:val="TOC3"/>
        <w:rPr>
          <w:rFonts w:asciiTheme="minorHAnsi" w:eastAsiaTheme="minorEastAsia" w:hAnsiTheme="minorHAnsi" w:cstheme="minorBidi"/>
          <w:noProof/>
          <w:szCs w:val="22"/>
          <w:lang w:eastAsia="en-AU"/>
        </w:rPr>
      </w:pPr>
      <w:hyperlink w:anchor="_Toc21956257" w:history="1">
        <w:r w:rsidR="00672D40" w:rsidRPr="00EB0971">
          <w:rPr>
            <w:rStyle w:val="Hyperlink"/>
            <w:noProof/>
          </w:rPr>
          <w:t>3.1.2</w:t>
        </w:r>
        <w:r w:rsidR="00672D40">
          <w:rPr>
            <w:rFonts w:asciiTheme="minorHAnsi" w:eastAsiaTheme="minorEastAsia" w:hAnsiTheme="minorHAnsi" w:cstheme="minorBidi"/>
            <w:noProof/>
            <w:szCs w:val="22"/>
            <w:lang w:eastAsia="en-AU"/>
          </w:rPr>
          <w:tab/>
        </w:r>
        <w:r w:rsidR="00672D40" w:rsidRPr="00EB0971">
          <w:rPr>
            <w:rStyle w:val="Hyperlink"/>
            <w:noProof/>
          </w:rPr>
          <w:t>Feedback on the adequacy of the subsidy</w:t>
        </w:r>
        <w:r w:rsidR="00672D40">
          <w:rPr>
            <w:noProof/>
            <w:webHidden/>
          </w:rPr>
          <w:tab/>
        </w:r>
        <w:r w:rsidR="00672D40">
          <w:rPr>
            <w:noProof/>
            <w:webHidden/>
          </w:rPr>
          <w:fldChar w:fldCharType="begin"/>
        </w:r>
        <w:r w:rsidR="00672D40">
          <w:rPr>
            <w:noProof/>
            <w:webHidden/>
          </w:rPr>
          <w:instrText xml:space="preserve"> PAGEREF _Toc21956257 \h </w:instrText>
        </w:r>
        <w:r w:rsidR="00672D40">
          <w:rPr>
            <w:noProof/>
            <w:webHidden/>
          </w:rPr>
        </w:r>
        <w:r w:rsidR="00672D40">
          <w:rPr>
            <w:noProof/>
            <w:webHidden/>
          </w:rPr>
          <w:fldChar w:fldCharType="separate"/>
        </w:r>
        <w:r w:rsidR="004A31FF">
          <w:rPr>
            <w:noProof/>
            <w:webHidden/>
          </w:rPr>
          <w:t>7</w:t>
        </w:r>
        <w:r w:rsidR="00672D40">
          <w:rPr>
            <w:noProof/>
            <w:webHidden/>
          </w:rPr>
          <w:fldChar w:fldCharType="end"/>
        </w:r>
      </w:hyperlink>
    </w:p>
    <w:p w14:paraId="34CBE404" w14:textId="77777777" w:rsidR="00672D40" w:rsidRDefault="00C777CB">
      <w:pPr>
        <w:pStyle w:val="TOC2"/>
        <w:rPr>
          <w:rFonts w:asciiTheme="minorHAnsi" w:eastAsiaTheme="minorEastAsia" w:hAnsiTheme="minorHAnsi" w:cstheme="minorBidi"/>
          <w:noProof/>
          <w:szCs w:val="22"/>
          <w:lang w:eastAsia="en-AU"/>
        </w:rPr>
      </w:pPr>
      <w:hyperlink w:anchor="_Toc21956258" w:history="1">
        <w:r w:rsidR="00672D40" w:rsidRPr="00EB0971">
          <w:rPr>
            <w:rStyle w:val="Hyperlink"/>
            <w:noProof/>
          </w:rPr>
          <w:t>3.1.3 Feedback on a provider neutral subsidy scheme</w:t>
        </w:r>
        <w:r w:rsidR="00672D40">
          <w:rPr>
            <w:noProof/>
            <w:webHidden/>
          </w:rPr>
          <w:tab/>
        </w:r>
        <w:r w:rsidR="00672D40">
          <w:rPr>
            <w:noProof/>
            <w:webHidden/>
          </w:rPr>
          <w:fldChar w:fldCharType="begin"/>
        </w:r>
        <w:r w:rsidR="00672D40">
          <w:rPr>
            <w:noProof/>
            <w:webHidden/>
          </w:rPr>
          <w:instrText xml:space="preserve"> PAGEREF _Toc21956258 \h </w:instrText>
        </w:r>
        <w:r w:rsidR="00672D40">
          <w:rPr>
            <w:noProof/>
            <w:webHidden/>
          </w:rPr>
        </w:r>
        <w:r w:rsidR="00672D40">
          <w:rPr>
            <w:noProof/>
            <w:webHidden/>
          </w:rPr>
          <w:fldChar w:fldCharType="separate"/>
        </w:r>
        <w:r w:rsidR="004A31FF">
          <w:rPr>
            <w:noProof/>
            <w:webHidden/>
          </w:rPr>
          <w:t>8</w:t>
        </w:r>
        <w:r w:rsidR="00672D40">
          <w:rPr>
            <w:noProof/>
            <w:webHidden/>
          </w:rPr>
          <w:fldChar w:fldCharType="end"/>
        </w:r>
      </w:hyperlink>
    </w:p>
    <w:p w14:paraId="0CF73C5C" w14:textId="77777777" w:rsidR="00672D40" w:rsidRDefault="00C777CB">
      <w:pPr>
        <w:pStyle w:val="TOC3"/>
        <w:rPr>
          <w:rFonts w:asciiTheme="minorHAnsi" w:eastAsiaTheme="minorEastAsia" w:hAnsiTheme="minorHAnsi" w:cstheme="minorBidi"/>
          <w:noProof/>
          <w:szCs w:val="22"/>
          <w:lang w:eastAsia="en-AU"/>
        </w:rPr>
      </w:pPr>
      <w:hyperlink w:anchor="_Toc21956259" w:history="1">
        <w:r w:rsidR="00672D40" w:rsidRPr="00EB0971">
          <w:rPr>
            <w:rStyle w:val="Hyperlink"/>
            <w:noProof/>
          </w:rPr>
          <w:t>3.1.3</w:t>
        </w:r>
        <w:r w:rsidR="00672D40">
          <w:rPr>
            <w:rFonts w:asciiTheme="minorHAnsi" w:eastAsiaTheme="minorEastAsia" w:hAnsiTheme="minorHAnsi" w:cstheme="minorBidi"/>
            <w:noProof/>
            <w:szCs w:val="22"/>
            <w:lang w:eastAsia="en-AU"/>
          </w:rPr>
          <w:tab/>
        </w:r>
        <w:r w:rsidR="00672D40" w:rsidRPr="00EB0971">
          <w:rPr>
            <w:rStyle w:val="Hyperlink"/>
            <w:noProof/>
          </w:rPr>
          <w:t>Feedback on fare regulation in a provider neutral scheme</w:t>
        </w:r>
        <w:r w:rsidR="00672D40">
          <w:rPr>
            <w:noProof/>
            <w:webHidden/>
          </w:rPr>
          <w:tab/>
        </w:r>
        <w:r w:rsidR="00672D40">
          <w:rPr>
            <w:noProof/>
            <w:webHidden/>
          </w:rPr>
          <w:fldChar w:fldCharType="begin"/>
        </w:r>
        <w:r w:rsidR="00672D40">
          <w:rPr>
            <w:noProof/>
            <w:webHidden/>
          </w:rPr>
          <w:instrText xml:space="preserve"> PAGEREF _Toc21956259 \h </w:instrText>
        </w:r>
        <w:r w:rsidR="00672D40">
          <w:rPr>
            <w:noProof/>
            <w:webHidden/>
          </w:rPr>
        </w:r>
        <w:r w:rsidR="00672D40">
          <w:rPr>
            <w:noProof/>
            <w:webHidden/>
          </w:rPr>
          <w:fldChar w:fldCharType="separate"/>
        </w:r>
        <w:r w:rsidR="004A31FF">
          <w:rPr>
            <w:noProof/>
            <w:webHidden/>
          </w:rPr>
          <w:t>10</w:t>
        </w:r>
        <w:r w:rsidR="00672D40">
          <w:rPr>
            <w:noProof/>
            <w:webHidden/>
          </w:rPr>
          <w:fldChar w:fldCharType="end"/>
        </w:r>
      </w:hyperlink>
    </w:p>
    <w:p w14:paraId="03D343CE" w14:textId="77777777" w:rsidR="00672D40" w:rsidRDefault="00C777CB">
      <w:pPr>
        <w:pStyle w:val="TOC3"/>
        <w:rPr>
          <w:rFonts w:asciiTheme="minorHAnsi" w:eastAsiaTheme="minorEastAsia" w:hAnsiTheme="minorHAnsi" w:cstheme="minorBidi"/>
          <w:noProof/>
          <w:szCs w:val="22"/>
          <w:lang w:eastAsia="en-AU"/>
        </w:rPr>
      </w:pPr>
      <w:hyperlink w:anchor="_Toc21956260" w:history="1">
        <w:r w:rsidR="00672D40" w:rsidRPr="00EB0971">
          <w:rPr>
            <w:rStyle w:val="Hyperlink"/>
            <w:noProof/>
          </w:rPr>
          <w:t>3.1.4</w:t>
        </w:r>
        <w:r w:rsidR="00672D40">
          <w:rPr>
            <w:rFonts w:asciiTheme="minorHAnsi" w:eastAsiaTheme="minorEastAsia" w:hAnsiTheme="minorHAnsi" w:cstheme="minorBidi"/>
            <w:noProof/>
            <w:szCs w:val="22"/>
            <w:lang w:eastAsia="en-AU"/>
          </w:rPr>
          <w:tab/>
        </w:r>
        <w:r w:rsidR="00672D40" w:rsidRPr="00EB0971">
          <w:rPr>
            <w:rStyle w:val="Hyperlink"/>
            <w:noProof/>
          </w:rPr>
          <w:t>Feedback on TTSS and Block Funded Services</w:t>
        </w:r>
        <w:r w:rsidR="00672D40">
          <w:rPr>
            <w:noProof/>
            <w:webHidden/>
          </w:rPr>
          <w:tab/>
        </w:r>
        <w:r w:rsidR="00672D40">
          <w:rPr>
            <w:noProof/>
            <w:webHidden/>
          </w:rPr>
          <w:fldChar w:fldCharType="begin"/>
        </w:r>
        <w:r w:rsidR="00672D40">
          <w:rPr>
            <w:noProof/>
            <w:webHidden/>
          </w:rPr>
          <w:instrText xml:space="preserve"> PAGEREF _Toc21956260 \h </w:instrText>
        </w:r>
        <w:r w:rsidR="00672D40">
          <w:rPr>
            <w:noProof/>
            <w:webHidden/>
          </w:rPr>
        </w:r>
        <w:r w:rsidR="00672D40">
          <w:rPr>
            <w:noProof/>
            <w:webHidden/>
          </w:rPr>
          <w:fldChar w:fldCharType="separate"/>
        </w:r>
        <w:r w:rsidR="004A31FF">
          <w:rPr>
            <w:noProof/>
            <w:webHidden/>
          </w:rPr>
          <w:t>11</w:t>
        </w:r>
        <w:r w:rsidR="00672D40">
          <w:rPr>
            <w:noProof/>
            <w:webHidden/>
          </w:rPr>
          <w:fldChar w:fldCharType="end"/>
        </w:r>
      </w:hyperlink>
    </w:p>
    <w:p w14:paraId="5ADCFA05" w14:textId="77777777" w:rsidR="00672D40" w:rsidRDefault="00C777CB">
      <w:pPr>
        <w:pStyle w:val="TOC3"/>
        <w:rPr>
          <w:rFonts w:asciiTheme="minorHAnsi" w:eastAsiaTheme="minorEastAsia" w:hAnsiTheme="minorHAnsi" w:cstheme="minorBidi"/>
          <w:noProof/>
          <w:szCs w:val="22"/>
          <w:lang w:eastAsia="en-AU"/>
        </w:rPr>
      </w:pPr>
      <w:hyperlink w:anchor="_Toc21956261" w:history="1">
        <w:r w:rsidR="00672D40" w:rsidRPr="00EB0971">
          <w:rPr>
            <w:rStyle w:val="Hyperlink"/>
            <w:noProof/>
          </w:rPr>
          <w:t>3.1.5</w:t>
        </w:r>
        <w:r w:rsidR="00672D40">
          <w:rPr>
            <w:rFonts w:asciiTheme="minorHAnsi" w:eastAsiaTheme="minorEastAsia" w:hAnsiTheme="minorHAnsi" w:cstheme="minorBidi"/>
            <w:noProof/>
            <w:szCs w:val="22"/>
            <w:lang w:eastAsia="en-AU"/>
          </w:rPr>
          <w:tab/>
        </w:r>
        <w:r w:rsidR="00672D40" w:rsidRPr="00EB0971">
          <w:rPr>
            <w:rStyle w:val="Hyperlink"/>
            <w:noProof/>
          </w:rPr>
          <w:t>Scheme Administration</w:t>
        </w:r>
        <w:r w:rsidR="00672D40">
          <w:rPr>
            <w:noProof/>
            <w:webHidden/>
          </w:rPr>
          <w:tab/>
        </w:r>
        <w:r w:rsidR="00672D40">
          <w:rPr>
            <w:noProof/>
            <w:webHidden/>
          </w:rPr>
          <w:fldChar w:fldCharType="begin"/>
        </w:r>
        <w:r w:rsidR="00672D40">
          <w:rPr>
            <w:noProof/>
            <w:webHidden/>
          </w:rPr>
          <w:instrText xml:space="preserve"> PAGEREF _Toc21956261 \h </w:instrText>
        </w:r>
        <w:r w:rsidR="00672D40">
          <w:rPr>
            <w:noProof/>
            <w:webHidden/>
          </w:rPr>
        </w:r>
        <w:r w:rsidR="00672D40">
          <w:rPr>
            <w:noProof/>
            <w:webHidden/>
          </w:rPr>
          <w:fldChar w:fldCharType="separate"/>
        </w:r>
        <w:r w:rsidR="004A31FF">
          <w:rPr>
            <w:noProof/>
            <w:webHidden/>
          </w:rPr>
          <w:t>11</w:t>
        </w:r>
        <w:r w:rsidR="00672D40">
          <w:rPr>
            <w:noProof/>
            <w:webHidden/>
          </w:rPr>
          <w:fldChar w:fldCharType="end"/>
        </w:r>
      </w:hyperlink>
    </w:p>
    <w:p w14:paraId="6A7076E4" w14:textId="77777777" w:rsidR="00672D40" w:rsidRDefault="00C777CB">
      <w:pPr>
        <w:pStyle w:val="TOC2"/>
        <w:rPr>
          <w:rFonts w:asciiTheme="minorHAnsi" w:eastAsiaTheme="minorEastAsia" w:hAnsiTheme="minorHAnsi" w:cstheme="minorBidi"/>
          <w:noProof/>
          <w:szCs w:val="22"/>
          <w:lang w:eastAsia="en-AU"/>
        </w:rPr>
      </w:pPr>
      <w:hyperlink w:anchor="_Toc21956262" w:history="1">
        <w:r w:rsidR="00672D40" w:rsidRPr="00EB0971">
          <w:rPr>
            <w:rStyle w:val="Hyperlink"/>
            <w:noProof/>
          </w:rPr>
          <w:t>3.2</w:t>
        </w:r>
        <w:r w:rsidR="00672D40">
          <w:rPr>
            <w:rFonts w:asciiTheme="minorHAnsi" w:eastAsiaTheme="minorEastAsia" w:hAnsiTheme="minorHAnsi" w:cstheme="minorBidi"/>
            <w:noProof/>
            <w:szCs w:val="22"/>
            <w:lang w:eastAsia="en-AU"/>
          </w:rPr>
          <w:tab/>
        </w:r>
        <w:r w:rsidR="00672D40" w:rsidRPr="00EB0971">
          <w:rPr>
            <w:rStyle w:val="Hyperlink"/>
            <w:noProof/>
          </w:rPr>
          <w:t>Wheelchair Accessible Transport</w:t>
        </w:r>
        <w:r w:rsidR="00672D40">
          <w:rPr>
            <w:noProof/>
            <w:webHidden/>
          </w:rPr>
          <w:tab/>
        </w:r>
        <w:r w:rsidR="00672D40">
          <w:rPr>
            <w:noProof/>
            <w:webHidden/>
          </w:rPr>
          <w:fldChar w:fldCharType="begin"/>
        </w:r>
        <w:r w:rsidR="00672D40">
          <w:rPr>
            <w:noProof/>
            <w:webHidden/>
          </w:rPr>
          <w:instrText xml:space="preserve"> PAGEREF _Toc21956262 \h </w:instrText>
        </w:r>
        <w:r w:rsidR="00672D40">
          <w:rPr>
            <w:noProof/>
            <w:webHidden/>
          </w:rPr>
        </w:r>
        <w:r w:rsidR="00672D40">
          <w:rPr>
            <w:noProof/>
            <w:webHidden/>
          </w:rPr>
          <w:fldChar w:fldCharType="separate"/>
        </w:r>
        <w:r w:rsidR="004A31FF">
          <w:rPr>
            <w:noProof/>
            <w:webHidden/>
          </w:rPr>
          <w:t>13</w:t>
        </w:r>
        <w:r w:rsidR="00672D40">
          <w:rPr>
            <w:noProof/>
            <w:webHidden/>
          </w:rPr>
          <w:fldChar w:fldCharType="end"/>
        </w:r>
      </w:hyperlink>
    </w:p>
    <w:p w14:paraId="778E0A4D" w14:textId="77777777" w:rsidR="00672D40" w:rsidRDefault="00C777CB">
      <w:pPr>
        <w:pStyle w:val="TOC3"/>
        <w:rPr>
          <w:rFonts w:asciiTheme="minorHAnsi" w:eastAsiaTheme="minorEastAsia" w:hAnsiTheme="minorHAnsi" w:cstheme="minorBidi"/>
          <w:noProof/>
          <w:szCs w:val="22"/>
          <w:lang w:eastAsia="en-AU"/>
        </w:rPr>
      </w:pPr>
      <w:hyperlink w:anchor="_Toc21956263" w:history="1">
        <w:r w:rsidR="00672D40" w:rsidRPr="00EB0971">
          <w:rPr>
            <w:rStyle w:val="Hyperlink"/>
            <w:noProof/>
          </w:rPr>
          <w:t>3.2.1</w:t>
        </w:r>
        <w:r w:rsidR="00672D40">
          <w:rPr>
            <w:rFonts w:asciiTheme="minorHAnsi" w:eastAsiaTheme="minorEastAsia" w:hAnsiTheme="minorHAnsi" w:cstheme="minorBidi"/>
            <w:noProof/>
            <w:szCs w:val="22"/>
            <w:lang w:eastAsia="en-AU"/>
          </w:rPr>
          <w:tab/>
        </w:r>
        <w:r w:rsidR="00672D40" w:rsidRPr="00EB0971">
          <w:rPr>
            <w:rStyle w:val="Hyperlink"/>
            <w:noProof/>
          </w:rPr>
          <w:t>Feedback on free WAT licences</w:t>
        </w:r>
        <w:r w:rsidR="00672D40">
          <w:rPr>
            <w:noProof/>
            <w:webHidden/>
          </w:rPr>
          <w:tab/>
        </w:r>
        <w:r w:rsidR="00672D40">
          <w:rPr>
            <w:noProof/>
            <w:webHidden/>
          </w:rPr>
          <w:fldChar w:fldCharType="begin"/>
        </w:r>
        <w:r w:rsidR="00672D40">
          <w:rPr>
            <w:noProof/>
            <w:webHidden/>
          </w:rPr>
          <w:instrText xml:space="preserve"> PAGEREF _Toc21956263 \h </w:instrText>
        </w:r>
        <w:r w:rsidR="00672D40">
          <w:rPr>
            <w:noProof/>
            <w:webHidden/>
          </w:rPr>
        </w:r>
        <w:r w:rsidR="00672D40">
          <w:rPr>
            <w:noProof/>
            <w:webHidden/>
          </w:rPr>
          <w:fldChar w:fldCharType="separate"/>
        </w:r>
        <w:r w:rsidR="004A31FF">
          <w:rPr>
            <w:noProof/>
            <w:webHidden/>
          </w:rPr>
          <w:t>13</w:t>
        </w:r>
        <w:r w:rsidR="00672D40">
          <w:rPr>
            <w:noProof/>
            <w:webHidden/>
          </w:rPr>
          <w:fldChar w:fldCharType="end"/>
        </w:r>
      </w:hyperlink>
    </w:p>
    <w:p w14:paraId="1F2E2762" w14:textId="77777777" w:rsidR="00672D40" w:rsidRDefault="00C777CB">
      <w:pPr>
        <w:pStyle w:val="TOC3"/>
        <w:rPr>
          <w:rFonts w:asciiTheme="minorHAnsi" w:eastAsiaTheme="minorEastAsia" w:hAnsiTheme="minorHAnsi" w:cstheme="minorBidi"/>
          <w:noProof/>
          <w:szCs w:val="22"/>
          <w:lang w:eastAsia="en-AU"/>
        </w:rPr>
      </w:pPr>
      <w:hyperlink w:anchor="_Toc21956264" w:history="1">
        <w:r w:rsidR="00672D40" w:rsidRPr="00EB0971">
          <w:rPr>
            <w:rStyle w:val="Hyperlink"/>
            <w:noProof/>
          </w:rPr>
          <w:t>3.2.2</w:t>
        </w:r>
        <w:r w:rsidR="00672D40">
          <w:rPr>
            <w:rFonts w:asciiTheme="minorHAnsi" w:eastAsiaTheme="minorEastAsia" w:hAnsiTheme="minorHAnsi" w:cstheme="minorBidi"/>
            <w:noProof/>
            <w:szCs w:val="22"/>
            <w:lang w:eastAsia="en-AU"/>
          </w:rPr>
          <w:tab/>
        </w:r>
        <w:r w:rsidR="00672D40" w:rsidRPr="00EB0971">
          <w:rPr>
            <w:rStyle w:val="Hyperlink"/>
            <w:noProof/>
          </w:rPr>
          <w:t>Feedback on the loan scheme</w:t>
        </w:r>
        <w:r w:rsidR="00672D40">
          <w:rPr>
            <w:noProof/>
            <w:webHidden/>
          </w:rPr>
          <w:tab/>
        </w:r>
        <w:r w:rsidR="00672D40">
          <w:rPr>
            <w:noProof/>
            <w:webHidden/>
          </w:rPr>
          <w:fldChar w:fldCharType="begin"/>
        </w:r>
        <w:r w:rsidR="00672D40">
          <w:rPr>
            <w:noProof/>
            <w:webHidden/>
          </w:rPr>
          <w:instrText xml:space="preserve"> PAGEREF _Toc21956264 \h </w:instrText>
        </w:r>
        <w:r w:rsidR="00672D40">
          <w:rPr>
            <w:noProof/>
            <w:webHidden/>
          </w:rPr>
        </w:r>
        <w:r w:rsidR="00672D40">
          <w:rPr>
            <w:noProof/>
            <w:webHidden/>
          </w:rPr>
          <w:fldChar w:fldCharType="separate"/>
        </w:r>
        <w:r w:rsidR="004A31FF">
          <w:rPr>
            <w:noProof/>
            <w:webHidden/>
          </w:rPr>
          <w:t>14</w:t>
        </w:r>
        <w:r w:rsidR="00672D40">
          <w:rPr>
            <w:noProof/>
            <w:webHidden/>
          </w:rPr>
          <w:fldChar w:fldCharType="end"/>
        </w:r>
      </w:hyperlink>
    </w:p>
    <w:p w14:paraId="48A9945F" w14:textId="77777777" w:rsidR="00672D40" w:rsidRDefault="00C777CB">
      <w:pPr>
        <w:pStyle w:val="TOC3"/>
        <w:rPr>
          <w:rFonts w:asciiTheme="minorHAnsi" w:eastAsiaTheme="minorEastAsia" w:hAnsiTheme="minorHAnsi" w:cstheme="minorBidi"/>
          <w:noProof/>
          <w:szCs w:val="22"/>
          <w:lang w:eastAsia="en-AU"/>
        </w:rPr>
      </w:pPr>
      <w:hyperlink w:anchor="_Toc21956265" w:history="1">
        <w:r w:rsidR="00672D40" w:rsidRPr="00EB0971">
          <w:rPr>
            <w:rStyle w:val="Hyperlink"/>
            <w:noProof/>
          </w:rPr>
          <w:t>3.2.3</w:t>
        </w:r>
        <w:r w:rsidR="00672D40">
          <w:rPr>
            <w:rFonts w:asciiTheme="minorHAnsi" w:eastAsiaTheme="minorEastAsia" w:hAnsiTheme="minorHAnsi" w:cstheme="minorBidi"/>
            <w:noProof/>
            <w:szCs w:val="22"/>
            <w:lang w:eastAsia="en-AU"/>
          </w:rPr>
          <w:tab/>
        </w:r>
        <w:r w:rsidR="00672D40" w:rsidRPr="00EB0971">
          <w:rPr>
            <w:rStyle w:val="Hyperlink"/>
            <w:noProof/>
          </w:rPr>
          <w:t>Feedback on the WAT driver incentive</w:t>
        </w:r>
        <w:r w:rsidR="00672D40">
          <w:rPr>
            <w:noProof/>
            <w:webHidden/>
          </w:rPr>
          <w:tab/>
        </w:r>
        <w:r w:rsidR="00672D40">
          <w:rPr>
            <w:noProof/>
            <w:webHidden/>
          </w:rPr>
          <w:fldChar w:fldCharType="begin"/>
        </w:r>
        <w:r w:rsidR="00672D40">
          <w:rPr>
            <w:noProof/>
            <w:webHidden/>
          </w:rPr>
          <w:instrText xml:space="preserve"> PAGEREF _Toc21956265 \h </w:instrText>
        </w:r>
        <w:r w:rsidR="00672D40">
          <w:rPr>
            <w:noProof/>
            <w:webHidden/>
          </w:rPr>
        </w:r>
        <w:r w:rsidR="00672D40">
          <w:rPr>
            <w:noProof/>
            <w:webHidden/>
          </w:rPr>
          <w:fldChar w:fldCharType="separate"/>
        </w:r>
        <w:r w:rsidR="004A31FF">
          <w:rPr>
            <w:noProof/>
            <w:webHidden/>
          </w:rPr>
          <w:t>15</w:t>
        </w:r>
        <w:r w:rsidR="00672D40">
          <w:rPr>
            <w:noProof/>
            <w:webHidden/>
          </w:rPr>
          <w:fldChar w:fldCharType="end"/>
        </w:r>
      </w:hyperlink>
    </w:p>
    <w:p w14:paraId="2CADDC13" w14:textId="77777777" w:rsidR="00672D40" w:rsidRDefault="00C777CB">
      <w:pPr>
        <w:pStyle w:val="TOC3"/>
        <w:rPr>
          <w:rFonts w:asciiTheme="minorHAnsi" w:eastAsiaTheme="minorEastAsia" w:hAnsiTheme="minorHAnsi" w:cstheme="minorBidi"/>
          <w:noProof/>
          <w:szCs w:val="22"/>
          <w:lang w:eastAsia="en-AU"/>
        </w:rPr>
      </w:pPr>
      <w:hyperlink w:anchor="_Toc21956266" w:history="1">
        <w:r w:rsidR="00672D40" w:rsidRPr="00EB0971">
          <w:rPr>
            <w:rStyle w:val="Hyperlink"/>
            <w:noProof/>
          </w:rPr>
          <w:t>3.2.4</w:t>
        </w:r>
        <w:r w:rsidR="00672D40">
          <w:rPr>
            <w:rFonts w:asciiTheme="minorHAnsi" w:eastAsiaTheme="minorEastAsia" w:hAnsiTheme="minorHAnsi" w:cstheme="minorBidi"/>
            <w:noProof/>
            <w:szCs w:val="22"/>
            <w:lang w:eastAsia="en-AU"/>
          </w:rPr>
          <w:tab/>
        </w:r>
        <w:r w:rsidR="00672D40" w:rsidRPr="00EB0971">
          <w:rPr>
            <w:rStyle w:val="Hyperlink"/>
            <w:noProof/>
          </w:rPr>
          <w:t>Feedback on the Centralised Booking Service</w:t>
        </w:r>
        <w:r w:rsidR="00672D40">
          <w:rPr>
            <w:noProof/>
            <w:webHidden/>
          </w:rPr>
          <w:tab/>
        </w:r>
        <w:r w:rsidR="00672D40">
          <w:rPr>
            <w:noProof/>
            <w:webHidden/>
          </w:rPr>
          <w:fldChar w:fldCharType="begin"/>
        </w:r>
        <w:r w:rsidR="00672D40">
          <w:rPr>
            <w:noProof/>
            <w:webHidden/>
          </w:rPr>
          <w:instrText xml:space="preserve"> PAGEREF _Toc21956266 \h </w:instrText>
        </w:r>
        <w:r w:rsidR="00672D40">
          <w:rPr>
            <w:noProof/>
            <w:webHidden/>
          </w:rPr>
        </w:r>
        <w:r w:rsidR="00672D40">
          <w:rPr>
            <w:noProof/>
            <w:webHidden/>
          </w:rPr>
          <w:fldChar w:fldCharType="separate"/>
        </w:r>
        <w:r w:rsidR="004A31FF">
          <w:rPr>
            <w:noProof/>
            <w:webHidden/>
          </w:rPr>
          <w:t>16</w:t>
        </w:r>
        <w:r w:rsidR="00672D40">
          <w:rPr>
            <w:noProof/>
            <w:webHidden/>
          </w:rPr>
          <w:fldChar w:fldCharType="end"/>
        </w:r>
      </w:hyperlink>
    </w:p>
    <w:p w14:paraId="24E09D65" w14:textId="77777777" w:rsidR="00672D40" w:rsidRDefault="00C777CB">
      <w:pPr>
        <w:pStyle w:val="TOC1"/>
        <w:rPr>
          <w:rFonts w:asciiTheme="minorHAnsi" w:eastAsiaTheme="minorEastAsia" w:hAnsiTheme="minorHAnsi" w:cstheme="minorBidi"/>
          <w:noProof/>
          <w:lang w:eastAsia="en-AU"/>
        </w:rPr>
      </w:pPr>
      <w:hyperlink w:anchor="_Toc21956267" w:history="1">
        <w:r w:rsidR="00672D40" w:rsidRPr="00EB0971">
          <w:rPr>
            <w:rStyle w:val="Hyperlink"/>
            <w:noProof/>
          </w:rPr>
          <w:t>4</w:t>
        </w:r>
        <w:r w:rsidR="00672D40">
          <w:rPr>
            <w:rFonts w:asciiTheme="minorHAnsi" w:eastAsiaTheme="minorEastAsia" w:hAnsiTheme="minorHAnsi" w:cstheme="minorBidi"/>
            <w:noProof/>
            <w:lang w:eastAsia="en-AU"/>
          </w:rPr>
          <w:tab/>
        </w:r>
        <w:r w:rsidR="00672D40" w:rsidRPr="00EB0971">
          <w:rPr>
            <w:rStyle w:val="Hyperlink"/>
            <w:noProof/>
          </w:rPr>
          <w:t>Summary of Findings</w:t>
        </w:r>
        <w:r w:rsidR="00672D40">
          <w:rPr>
            <w:noProof/>
            <w:webHidden/>
          </w:rPr>
          <w:tab/>
        </w:r>
        <w:r w:rsidR="00672D40">
          <w:rPr>
            <w:noProof/>
            <w:webHidden/>
          </w:rPr>
          <w:fldChar w:fldCharType="begin"/>
        </w:r>
        <w:r w:rsidR="00672D40">
          <w:rPr>
            <w:noProof/>
            <w:webHidden/>
          </w:rPr>
          <w:instrText xml:space="preserve"> PAGEREF _Toc21956267 \h </w:instrText>
        </w:r>
        <w:r w:rsidR="00672D40">
          <w:rPr>
            <w:noProof/>
            <w:webHidden/>
          </w:rPr>
        </w:r>
        <w:r w:rsidR="00672D40">
          <w:rPr>
            <w:noProof/>
            <w:webHidden/>
          </w:rPr>
          <w:fldChar w:fldCharType="separate"/>
        </w:r>
        <w:r w:rsidR="004A31FF">
          <w:rPr>
            <w:noProof/>
            <w:webHidden/>
          </w:rPr>
          <w:t>18</w:t>
        </w:r>
        <w:r w:rsidR="00672D40">
          <w:rPr>
            <w:noProof/>
            <w:webHidden/>
          </w:rPr>
          <w:fldChar w:fldCharType="end"/>
        </w:r>
      </w:hyperlink>
    </w:p>
    <w:p w14:paraId="5802F306" w14:textId="77777777" w:rsidR="00672D40" w:rsidRDefault="00C777CB">
      <w:pPr>
        <w:pStyle w:val="TOC1"/>
        <w:rPr>
          <w:rFonts w:asciiTheme="minorHAnsi" w:eastAsiaTheme="minorEastAsia" w:hAnsiTheme="minorHAnsi" w:cstheme="minorBidi"/>
          <w:noProof/>
          <w:lang w:eastAsia="en-AU"/>
        </w:rPr>
      </w:pPr>
      <w:hyperlink w:anchor="_Toc21956268" w:history="1">
        <w:r w:rsidR="00672D40" w:rsidRPr="00EB0971">
          <w:rPr>
            <w:rStyle w:val="Hyperlink"/>
            <w:noProof/>
          </w:rPr>
          <w:t>5</w:t>
        </w:r>
        <w:r w:rsidR="00672D40">
          <w:rPr>
            <w:rFonts w:asciiTheme="minorHAnsi" w:eastAsiaTheme="minorEastAsia" w:hAnsiTheme="minorHAnsi" w:cstheme="minorBidi"/>
            <w:noProof/>
            <w:lang w:eastAsia="en-AU"/>
          </w:rPr>
          <w:tab/>
        </w:r>
        <w:r w:rsidR="00672D40" w:rsidRPr="00EB0971">
          <w:rPr>
            <w:rStyle w:val="Hyperlink"/>
            <w:noProof/>
          </w:rPr>
          <w:t>The Way Forward</w:t>
        </w:r>
        <w:r w:rsidR="00672D40">
          <w:rPr>
            <w:noProof/>
            <w:webHidden/>
          </w:rPr>
          <w:tab/>
        </w:r>
        <w:r w:rsidR="00672D40">
          <w:rPr>
            <w:noProof/>
            <w:webHidden/>
          </w:rPr>
          <w:fldChar w:fldCharType="begin"/>
        </w:r>
        <w:r w:rsidR="00672D40">
          <w:rPr>
            <w:noProof/>
            <w:webHidden/>
          </w:rPr>
          <w:instrText xml:space="preserve"> PAGEREF _Toc21956268 \h </w:instrText>
        </w:r>
        <w:r w:rsidR="00672D40">
          <w:rPr>
            <w:noProof/>
            <w:webHidden/>
          </w:rPr>
        </w:r>
        <w:r w:rsidR="00672D40">
          <w:rPr>
            <w:noProof/>
            <w:webHidden/>
          </w:rPr>
          <w:fldChar w:fldCharType="separate"/>
        </w:r>
        <w:r w:rsidR="004A31FF">
          <w:rPr>
            <w:noProof/>
            <w:webHidden/>
          </w:rPr>
          <w:t>19</w:t>
        </w:r>
        <w:r w:rsidR="00672D40">
          <w:rPr>
            <w:noProof/>
            <w:webHidden/>
          </w:rPr>
          <w:fldChar w:fldCharType="end"/>
        </w:r>
      </w:hyperlink>
    </w:p>
    <w:p w14:paraId="774D9CC1" w14:textId="77777777" w:rsidR="0034318C" w:rsidRPr="002F010F" w:rsidRDefault="00BB3211" w:rsidP="0029095C">
      <w:pPr>
        <w:pStyle w:val="BodyCopy"/>
      </w:pPr>
      <w:r w:rsidRPr="002F010F">
        <w:fldChar w:fldCharType="end"/>
      </w:r>
    </w:p>
    <w:p w14:paraId="77839624" w14:textId="77777777" w:rsidR="00930B54" w:rsidRPr="006D0C3D" w:rsidRDefault="00930B54" w:rsidP="0029095C">
      <w:pPr>
        <w:rPr>
          <w:color w:val="FF0000"/>
        </w:rPr>
      </w:pPr>
    </w:p>
    <w:p w14:paraId="0E23D100" w14:textId="4B11544C" w:rsidR="00F73B46" w:rsidRDefault="00F73B46" w:rsidP="0029095C">
      <w:pPr>
        <w:pStyle w:val="BodyText"/>
        <w:spacing w:after="0"/>
        <w:ind w:left="0"/>
        <w:rPr>
          <w:b/>
        </w:rPr>
      </w:pPr>
      <w:bookmarkStart w:id="1" w:name="RowTitle_DocumentVersionControl"/>
      <w:bookmarkEnd w:id="1"/>
    </w:p>
    <w:p w14:paraId="4A188A81" w14:textId="77777777" w:rsidR="00F73B46" w:rsidRPr="00F73B46" w:rsidRDefault="00F73B46" w:rsidP="00F73B46"/>
    <w:p w14:paraId="00A73A7A" w14:textId="77777777" w:rsidR="00F73B46" w:rsidRPr="00F73B46" w:rsidRDefault="00F73B46" w:rsidP="00F73B46"/>
    <w:p w14:paraId="4D546237" w14:textId="77777777" w:rsidR="00F73B46" w:rsidRPr="00F73B46" w:rsidRDefault="00F73B46" w:rsidP="00F73B46"/>
    <w:p w14:paraId="33B3F441" w14:textId="77777777" w:rsidR="00F73B46" w:rsidRPr="00F73B46" w:rsidRDefault="00F73B46" w:rsidP="00F73B46"/>
    <w:p w14:paraId="72DBC4BE" w14:textId="19AE3EE7" w:rsidR="00F73B46" w:rsidRDefault="00F73B46" w:rsidP="00F73B46"/>
    <w:p w14:paraId="4CAFDCDD" w14:textId="6AE5375F" w:rsidR="008C1100" w:rsidRPr="00F73B46" w:rsidRDefault="00F73B46" w:rsidP="00F73B46">
      <w:pPr>
        <w:tabs>
          <w:tab w:val="left" w:pos="2790"/>
        </w:tabs>
      </w:pPr>
      <w:r>
        <w:tab/>
      </w:r>
    </w:p>
    <w:p w14:paraId="0F15B276" w14:textId="77777777" w:rsidR="004B6A34" w:rsidRDefault="00894E5A" w:rsidP="0029095C">
      <w:pPr>
        <w:pStyle w:val="Heading1"/>
      </w:pPr>
      <w:bookmarkStart w:id="2" w:name="_Toc21956248"/>
      <w:r>
        <w:lastRenderedPageBreak/>
        <w:t>Introduction</w:t>
      </w:r>
      <w:bookmarkEnd w:id="2"/>
    </w:p>
    <w:p w14:paraId="4E6C1AF4" w14:textId="77777777" w:rsidR="007A59A8" w:rsidRDefault="001505DF" w:rsidP="0029095C">
      <w:pPr>
        <w:pStyle w:val="BodyText"/>
        <w:ind w:left="0"/>
      </w:pPr>
      <w:r>
        <w:t>The point to point transport industry has undergone significant ref</w:t>
      </w:r>
      <w:r w:rsidR="000D28B1">
        <w:t>orms over the past three</w:t>
      </w:r>
      <w:r w:rsidR="00026D8A">
        <w:t xml:space="preserve"> years. A</w:t>
      </w:r>
      <w:r w:rsidR="007A59A8">
        <w:t xml:space="preserve">n independent </w:t>
      </w:r>
      <w:r>
        <w:t xml:space="preserve">review of the taxi and hire car industries in 2015 found that the regulations were out of date, imposed additional costs on operators and limited scope for innovation. </w:t>
      </w:r>
      <w:r w:rsidR="00026D8A">
        <w:t>The r</w:t>
      </w:r>
      <w:r w:rsidR="007A59A8">
        <w:t xml:space="preserve">eview also recommended that the Government consider moving to a service provider neutral transport subsidy scheme for people with disabilities. In doing so, the Taskforce recommended that the Government should examine: </w:t>
      </w:r>
    </w:p>
    <w:p w14:paraId="2452E46D" w14:textId="77777777" w:rsidR="007A59A8" w:rsidRDefault="007A59A8" w:rsidP="0029095C">
      <w:pPr>
        <w:pStyle w:val="BodyText"/>
        <w:numPr>
          <w:ilvl w:val="0"/>
          <w:numId w:val="24"/>
        </w:numPr>
        <w:tabs>
          <w:tab w:val="clear" w:pos="851"/>
          <w:tab w:val="left" w:pos="567"/>
        </w:tabs>
        <w:ind w:left="1134" w:hanging="567"/>
      </w:pPr>
      <w:r>
        <w:t xml:space="preserve">“The viability of wheelchair accessible services given the higher capital and running costs associated with providing these services … </w:t>
      </w:r>
    </w:p>
    <w:p w14:paraId="1B11DEA6" w14:textId="77777777" w:rsidR="007A59A8" w:rsidRDefault="007A59A8" w:rsidP="0029095C">
      <w:pPr>
        <w:pStyle w:val="BodyText"/>
        <w:numPr>
          <w:ilvl w:val="0"/>
          <w:numId w:val="24"/>
        </w:numPr>
        <w:tabs>
          <w:tab w:val="clear" w:pos="851"/>
          <w:tab w:val="left" w:pos="567"/>
        </w:tabs>
        <w:ind w:left="1134" w:hanging="567"/>
      </w:pPr>
      <w:r>
        <w:t>The effectiveness and adequacy of passenger subsidies and other incentives for the provision of services to all people with disabilities, with a view to directly subsidising some aspects of service provision, where necessary;  and …</w:t>
      </w:r>
    </w:p>
    <w:p w14:paraId="179750DC" w14:textId="77777777" w:rsidR="007A59A8" w:rsidRDefault="007A59A8" w:rsidP="0029095C">
      <w:pPr>
        <w:pStyle w:val="BodyText"/>
        <w:numPr>
          <w:ilvl w:val="0"/>
          <w:numId w:val="24"/>
        </w:numPr>
        <w:tabs>
          <w:tab w:val="clear" w:pos="851"/>
          <w:tab w:val="left" w:pos="567"/>
        </w:tabs>
        <w:ind w:left="1134" w:hanging="567"/>
      </w:pPr>
      <w:r>
        <w:t xml:space="preserve">How best to ensure booking services for customers requiring wheelchair accessible services can be delivered, including in the context of moving to a provider-neutral model.” </w:t>
      </w:r>
    </w:p>
    <w:p w14:paraId="2305D77F" w14:textId="77777777" w:rsidR="001505DF" w:rsidRDefault="001505DF" w:rsidP="0029095C">
      <w:pPr>
        <w:pStyle w:val="BodyText"/>
        <w:ind w:left="0"/>
      </w:pPr>
      <w:r>
        <w:t xml:space="preserve">A new framework (the </w:t>
      </w:r>
      <w:r w:rsidRPr="00C84068">
        <w:rPr>
          <w:i/>
        </w:rPr>
        <w:t>Point to Point Transport (Taxis and Hire Vehicles) Act</w:t>
      </w:r>
      <w:r>
        <w:t xml:space="preserve"> 2016) passed Parliament in June 2016 and commenced on 1 November 2017. The new point to point transport framework aims to cut red-tape for the taxi and hire car industries and enable new service offerings. The new framework focuses on safety and allows point to point transport services to compete more freely on service and price. This </w:t>
      </w:r>
      <w:r w:rsidR="00FE613D">
        <w:t xml:space="preserve">has </w:t>
      </w:r>
      <w:r>
        <w:t xml:space="preserve">enabled </w:t>
      </w:r>
      <w:r w:rsidR="00CB3973">
        <w:t xml:space="preserve">the </w:t>
      </w:r>
      <w:r>
        <w:t xml:space="preserve">taxi and hire vehicle </w:t>
      </w:r>
      <w:r w:rsidR="00CB3973">
        <w:t>industry</w:t>
      </w:r>
      <w:r>
        <w:t xml:space="preserve"> to better respond to customer demand and provides greater choice and flexibility for customers. </w:t>
      </w:r>
    </w:p>
    <w:p w14:paraId="3228F93B" w14:textId="77777777" w:rsidR="001505DF" w:rsidRDefault="001505DF" w:rsidP="0029095C">
      <w:pPr>
        <w:pStyle w:val="BodyText"/>
        <w:ind w:left="0"/>
      </w:pPr>
      <w:r>
        <w:t>As part of these reforms, a number of measures were taken to ensure that services for people with disability, especially wheelchair accessible services, remain available and affordable to people who need them. These measures took effect from 1 July 2016:</w:t>
      </w:r>
    </w:p>
    <w:p w14:paraId="68EE1AF5" w14:textId="77777777" w:rsidR="001505DF" w:rsidRDefault="001505DF" w:rsidP="0029095C">
      <w:pPr>
        <w:pStyle w:val="BodyText"/>
        <w:tabs>
          <w:tab w:val="clear" w:pos="851"/>
          <w:tab w:val="left" w:pos="1134"/>
        </w:tabs>
        <w:ind w:left="1134" w:hanging="567"/>
      </w:pPr>
      <w:r>
        <w:t>•</w:t>
      </w:r>
      <w:r>
        <w:tab/>
        <w:t>The maximum TTSS subsidy was increased from $30 to $60 per trip.</w:t>
      </w:r>
    </w:p>
    <w:p w14:paraId="118D10A2" w14:textId="77777777" w:rsidR="001505DF" w:rsidRDefault="001505DF" w:rsidP="0029095C">
      <w:pPr>
        <w:pStyle w:val="BodyText"/>
        <w:tabs>
          <w:tab w:val="clear" w:pos="851"/>
          <w:tab w:val="left" w:pos="1134"/>
        </w:tabs>
        <w:ind w:left="1134" w:hanging="567"/>
      </w:pPr>
      <w:r>
        <w:t>•</w:t>
      </w:r>
      <w:r>
        <w:tab/>
        <w:t>The WAT driver incentive payment (WATDIS) was increased from $7.70 (ex. GST) to $15 (ex. GST) per trip.</w:t>
      </w:r>
    </w:p>
    <w:p w14:paraId="6BC3D258" w14:textId="77777777" w:rsidR="001505DF" w:rsidRDefault="001505DF" w:rsidP="0029095C">
      <w:pPr>
        <w:pStyle w:val="BodyText"/>
        <w:tabs>
          <w:tab w:val="clear" w:pos="851"/>
          <w:tab w:val="left" w:pos="1134"/>
        </w:tabs>
        <w:ind w:left="1134" w:hanging="567"/>
      </w:pPr>
      <w:r>
        <w:t>•</w:t>
      </w:r>
      <w:r>
        <w:tab/>
        <w:t>The pool of funds available for the WAT interest-free loan scheme was expanded from $</w:t>
      </w:r>
      <w:r w:rsidR="00E21670">
        <w:t>800,</w:t>
      </w:r>
      <w:r>
        <w:t>000 to $5 million, and WAT loans became available to cover the full cost of purchase and modification (rather than $</w:t>
      </w:r>
      <w:r w:rsidR="00E21670">
        <w:t>30,</w:t>
      </w:r>
      <w:r>
        <w:t>000 to cover just the modifications).</w:t>
      </w:r>
    </w:p>
    <w:p w14:paraId="52695C59" w14:textId="77777777" w:rsidR="001505DF" w:rsidRDefault="001505DF" w:rsidP="0029095C">
      <w:pPr>
        <w:pStyle w:val="BodyText"/>
        <w:tabs>
          <w:tab w:val="clear" w:pos="851"/>
          <w:tab w:val="left" w:pos="1134"/>
        </w:tabs>
        <w:ind w:left="1134" w:hanging="567"/>
      </w:pPr>
      <w:r>
        <w:t>•</w:t>
      </w:r>
      <w:r>
        <w:tab/>
        <w:t>The cost of Zero200, the centralised booking service for WATs in Sydney, was subsidised, saving WAT businesses $2</w:t>
      </w:r>
      <w:r w:rsidR="00E21670">
        <w:t>,</w:t>
      </w:r>
      <w:r>
        <w:t>130 per vehicle per year.</w:t>
      </w:r>
    </w:p>
    <w:p w14:paraId="2F08AF34" w14:textId="77777777" w:rsidR="001505DF" w:rsidRDefault="001505DF" w:rsidP="0029095C">
      <w:pPr>
        <w:pStyle w:val="BodyText"/>
        <w:tabs>
          <w:tab w:val="clear" w:pos="851"/>
          <w:tab w:val="left" w:pos="1134"/>
        </w:tabs>
        <w:ind w:left="1134" w:hanging="567"/>
      </w:pPr>
      <w:r>
        <w:t>•</w:t>
      </w:r>
      <w:r>
        <w:tab/>
        <w:t>WAT licence fees were decreased from $1</w:t>
      </w:r>
      <w:r w:rsidR="00E21670">
        <w:t>,</w:t>
      </w:r>
      <w:r>
        <w:t>000 per annum to zero in metro areas, in line with the rest of NSW.</w:t>
      </w:r>
    </w:p>
    <w:p w14:paraId="7B3634CE" w14:textId="77777777" w:rsidR="004B6A34" w:rsidRDefault="00026D8A" w:rsidP="0029095C">
      <w:pPr>
        <w:pStyle w:val="BodyText"/>
        <w:ind w:left="0"/>
      </w:pPr>
      <w:r>
        <w:t xml:space="preserve">The </w:t>
      </w:r>
      <w:r w:rsidR="00894E5A">
        <w:t xml:space="preserve">review </w:t>
      </w:r>
      <w:r>
        <w:t>into subsidies and incentives for the provision of services for people with disability</w:t>
      </w:r>
      <w:r w:rsidR="000D177B">
        <w:t xml:space="preserve"> including moving to a provider neutral model</w:t>
      </w:r>
      <w:r>
        <w:t xml:space="preserve"> </w:t>
      </w:r>
      <w:r w:rsidR="00894E5A">
        <w:t>was announced by t</w:t>
      </w:r>
      <w:r w:rsidR="00B51708">
        <w:t>he Minister for Transport on 11 April </w:t>
      </w:r>
      <w:r w:rsidR="00894E5A">
        <w:t>2017.</w:t>
      </w:r>
    </w:p>
    <w:p w14:paraId="6994B7A6" w14:textId="6F62D8F9" w:rsidR="000D177B" w:rsidRPr="004B6A34" w:rsidRDefault="000D177B" w:rsidP="000D177B">
      <w:pPr>
        <w:pStyle w:val="BodyText"/>
        <w:ind w:left="0"/>
      </w:pPr>
      <w:r>
        <w:t xml:space="preserve">The review has found broad support for a provider neutral subsidy scheme supported by an electronic payment system that would replace the existing paper vouchers. In the short term, TfNSW will aim to partner with Booking Service Providers to provide more transport options for TTSS participants. TfNSW will work towards developing </w:t>
      </w:r>
      <w:r w:rsidR="00FF683C">
        <w:t>a new system</w:t>
      </w:r>
      <w:r>
        <w:t xml:space="preserve"> to replace the current paper system, and gradually open up the scheme to all point to point </w:t>
      </w:r>
      <w:r w:rsidR="00C826F6">
        <w:t>transport</w:t>
      </w:r>
      <w:r>
        <w:t xml:space="preserve"> providers.</w:t>
      </w:r>
    </w:p>
    <w:p w14:paraId="09563C0A" w14:textId="77777777" w:rsidR="0034318C" w:rsidRPr="003C2911" w:rsidRDefault="00894E5A" w:rsidP="0029095C">
      <w:pPr>
        <w:pStyle w:val="Heading1"/>
      </w:pPr>
      <w:bookmarkStart w:id="3" w:name="_Toc21956249"/>
      <w:r>
        <w:lastRenderedPageBreak/>
        <w:t>Terms of Reference</w:t>
      </w:r>
      <w:bookmarkEnd w:id="3"/>
    </w:p>
    <w:p w14:paraId="4C4A1237" w14:textId="77777777" w:rsidR="002F010F" w:rsidRPr="002F010F" w:rsidRDefault="00894E5A" w:rsidP="0029095C">
      <w:pPr>
        <w:pStyle w:val="Heading2"/>
        <w:numPr>
          <w:ilvl w:val="0"/>
          <w:numId w:val="0"/>
        </w:numPr>
      </w:pPr>
      <w:bookmarkStart w:id="4" w:name="_Toc21956250"/>
      <w:r>
        <w:t>Purpose</w:t>
      </w:r>
      <w:bookmarkEnd w:id="4"/>
    </w:p>
    <w:p w14:paraId="50A9A5DD" w14:textId="77777777" w:rsidR="00894E5A" w:rsidRDefault="00894E5A" w:rsidP="00531FD7">
      <w:pPr>
        <w:rPr>
          <w:b/>
          <w:bCs/>
        </w:rPr>
      </w:pPr>
      <w:r w:rsidRPr="00894E5A">
        <w:t>The purpose of the review is to make recommendations on the future operation of the Taxi Transport Subsidy Scheme and the incentives provided to Wheelchair Accessible Taxi operators and drivers to provide services to customers with disability.</w:t>
      </w:r>
    </w:p>
    <w:p w14:paraId="174CFFFB" w14:textId="77777777" w:rsidR="009B7393" w:rsidRPr="008C1100" w:rsidRDefault="008C5C4F" w:rsidP="0029095C">
      <w:pPr>
        <w:pStyle w:val="Heading2"/>
        <w:numPr>
          <w:ilvl w:val="0"/>
          <w:numId w:val="0"/>
        </w:numPr>
      </w:pPr>
      <w:bookmarkStart w:id="5" w:name="_Toc21956251"/>
      <w:r>
        <w:t>S</w:t>
      </w:r>
      <w:r w:rsidR="00894E5A">
        <w:t>cope of the Review</w:t>
      </w:r>
      <w:bookmarkEnd w:id="5"/>
    </w:p>
    <w:p w14:paraId="0004FADB" w14:textId="77777777" w:rsidR="00DA095E" w:rsidRDefault="00894E5A" w:rsidP="0029095C">
      <w:pPr>
        <w:ind w:left="0"/>
      </w:pPr>
      <w:r>
        <w:t xml:space="preserve">The review </w:t>
      </w:r>
      <w:r w:rsidR="000D177B">
        <w:t>was intended to</w:t>
      </w:r>
      <w:r>
        <w:t>:</w:t>
      </w:r>
    </w:p>
    <w:p w14:paraId="5A185FA6" w14:textId="77777777" w:rsidR="00894E5A" w:rsidRPr="00AA23BA" w:rsidRDefault="00894E5A" w:rsidP="00FD7ACB">
      <w:pPr>
        <w:pStyle w:val="ListParagraph"/>
        <w:rPr>
          <w:rFonts w:eastAsiaTheme="minorHAnsi"/>
          <w:lang w:eastAsia="en-AU"/>
        </w:rPr>
      </w:pPr>
      <w:r w:rsidRPr="00AA23BA">
        <w:rPr>
          <w:rFonts w:eastAsiaTheme="minorHAnsi"/>
          <w:lang w:eastAsia="en-AU"/>
        </w:rPr>
        <w:t>Evaluate the objectives of the Taxi Transport Subsidy Scheme in the context of changes to the policy and regulatory environment for point to point transport services.</w:t>
      </w:r>
    </w:p>
    <w:p w14:paraId="741A5711" w14:textId="77777777" w:rsidR="00894E5A" w:rsidRPr="00AA23BA" w:rsidRDefault="00894E5A" w:rsidP="00FD7ACB">
      <w:pPr>
        <w:pStyle w:val="ListParagraph"/>
        <w:rPr>
          <w:rFonts w:eastAsiaTheme="minorHAnsi"/>
          <w:lang w:eastAsia="en-AU"/>
        </w:rPr>
      </w:pPr>
      <w:r w:rsidRPr="00AA23BA">
        <w:rPr>
          <w:rFonts w:eastAsiaTheme="minorHAnsi"/>
          <w:lang w:eastAsia="en-AU"/>
        </w:rPr>
        <w:t>Consider the effectiveness of current incentives to encourage investment in wheelchair accessible vehicles and to prioritise use of the vehicles for customers with disability.</w:t>
      </w:r>
    </w:p>
    <w:p w14:paraId="318B273B" w14:textId="77777777" w:rsidR="00894E5A" w:rsidRPr="00AA23BA" w:rsidRDefault="00894E5A" w:rsidP="00FD7ACB">
      <w:pPr>
        <w:pStyle w:val="ListParagraph"/>
        <w:rPr>
          <w:rFonts w:eastAsiaTheme="minorHAnsi"/>
          <w:lang w:eastAsia="en-AU"/>
        </w:rPr>
      </w:pPr>
      <w:r w:rsidRPr="00AA23BA">
        <w:rPr>
          <w:rFonts w:eastAsiaTheme="minorHAnsi"/>
          <w:lang w:eastAsia="en-AU"/>
        </w:rPr>
        <w:t>Clarify the relationship between the Taxi Transport Subsidy Scheme and other transport options, including public transport, and the impact on scheme eligibility issues.</w:t>
      </w:r>
    </w:p>
    <w:p w14:paraId="426CC63E" w14:textId="77777777" w:rsidR="00894E5A" w:rsidRPr="00AA23BA" w:rsidRDefault="00894E5A" w:rsidP="00FD7ACB">
      <w:pPr>
        <w:pStyle w:val="ListParagraph"/>
        <w:rPr>
          <w:rFonts w:eastAsiaTheme="minorHAnsi"/>
          <w:lang w:eastAsia="en-AU"/>
        </w:rPr>
      </w:pPr>
      <w:r w:rsidRPr="00AA23BA">
        <w:rPr>
          <w:rFonts w:eastAsiaTheme="minorHAnsi"/>
          <w:lang w:eastAsia="en-AU"/>
        </w:rPr>
        <w:t>Consider opportunities to amend administrative arrangements for the Taxi Transport Subsidy Scheme to improve the customer experience and the integrity of the program.</w:t>
      </w:r>
    </w:p>
    <w:p w14:paraId="61FE211F" w14:textId="77777777" w:rsidR="00696868" w:rsidRDefault="00696868" w:rsidP="0029095C">
      <w:pPr>
        <w:ind w:left="0"/>
      </w:pPr>
      <w:r w:rsidRPr="00696868">
        <w:t xml:space="preserve">In considering these issues the existing subsidies and incentives </w:t>
      </w:r>
      <w:r w:rsidR="000D177B">
        <w:t>were</w:t>
      </w:r>
      <w:r w:rsidRPr="00696868">
        <w:t xml:space="preserve"> assessed according to the following criteria:</w:t>
      </w:r>
    </w:p>
    <w:p w14:paraId="6D4991FA" w14:textId="4F590178" w:rsidR="00696868" w:rsidRPr="00696868" w:rsidRDefault="00696868" w:rsidP="00672D40">
      <w:pPr>
        <w:pStyle w:val="ListParagraph"/>
        <w:numPr>
          <w:ilvl w:val="0"/>
          <w:numId w:val="26"/>
        </w:numPr>
        <w:ind w:left="360"/>
      </w:pPr>
      <w:r w:rsidRPr="00696868">
        <w:t>In relation to subsidies for people with disability for point to point transport services, the review examine</w:t>
      </w:r>
      <w:r w:rsidR="004723EB">
        <w:t>d</w:t>
      </w:r>
      <w:r w:rsidRPr="00696868">
        <w:t>:</w:t>
      </w:r>
    </w:p>
    <w:p w14:paraId="3A721D5B" w14:textId="77777777" w:rsidR="00696868" w:rsidRDefault="00696868" w:rsidP="00672D40">
      <w:pPr>
        <w:pStyle w:val="ListParagraph"/>
        <w:numPr>
          <w:ilvl w:val="0"/>
          <w:numId w:val="49"/>
        </w:numPr>
        <w:ind w:left="851"/>
      </w:pPr>
      <w:r>
        <w:t xml:space="preserve">the effectiveness and adequacy of current subsidies </w:t>
      </w:r>
    </w:p>
    <w:p w14:paraId="46DCF783" w14:textId="4B4C6E85" w:rsidR="00696868" w:rsidRDefault="00696868" w:rsidP="00672D40">
      <w:pPr>
        <w:pStyle w:val="ListParagraph"/>
        <w:numPr>
          <w:ilvl w:val="0"/>
          <w:numId w:val="49"/>
        </w:numPr>
        <w:ind w:left="851"/>
      </w:pPr>
      <w:r>
        <w:t xml:space="preserve">how eligibility criteria is being applied and the impact on opportunities for people with disability to access point to point </w:t>
      </w:r>
      <w:r w:rsidR="00C826F6">
        <w:t xml:space="preserve">transport </w:t>
      </w:r>
      <w:r>
        <w:t xml:space="preserve">services, and </w:t>
      </w:r>
    </w:p>
    <w:p w14:paraId="2610330F" w14:textId="77777777" w:rsidR="00696868" w:rsidRDefault="00696868" w:rsidP="00672D40">
      <w:pPr>
        <w:pStyle w:val="ListParagraph"/>
        <w:numPr>
          <w:ilvl w:val="0"/>
          <w:numId w:val="49"/>
        </w:numPr>
        <w:ind w:left="851"/>
      </w:pPr>
      <w:r>
        <w:t>the feasibility of moving to a service provider-neutral transport subsidy scheme and the potential impact on service availability, cost and safety compliance.</w:t>
      </w:r>
    </w:p>
    <w:p w14:paraId="56839174" w14:textId="249A458B" w:rsidR="00696868" w:rsidRPr="00696868" w:rsidRDefault="00696868" w:rsidP="00672D40">
      <w:pPr>
        <w:pStyle w:val="ListParagraph"/>
        <w:numPr>
          <w:ilvl w:val="0"/>
          <w:numId w:val="26"/>
        </w:numPr>
        <w:ind w:left="360"/>
      </w:pPr>
      <w:r w:rsidRPr="00696868">
        <w:t xml:space="preserve">In relation to wheelchair accessible vehicles, matters for consideration as part of the </w:t>
      </w:r>
      <w:r w:rsidR="00202030">
        <w:t>r</w:t>
      </w:r>
      <w:r w:rsidR="00202030" w:rsidRPr="00696868">
        <w:t xml:space="preserve">eview </w:t>
      </w:r>
      <w:r w:rsidRPr="00696868">
        <w:t>include</w:t>
      </w:r>
      <w:r w:rsidR="004723EB">
        <w:t>d</w:t>
      </w:r>
      <w:r w:rsidRPr="00696868">
        <w:t>:</w:t>
      </w:r>
    </w:p>
    <w:p w14:paraId="106FE22A" w14:textId="77777777" w:rsidR="00696868" w:rsidRDefault="00696868" w:rsidP="00672D40">
      <w:pPr>
        <w:pStyle w:val="ListParagraph"/>
        <w:numPr>
          <w:ilvl w:val="0"/>
          <w:numId w:val="49"/>
        </w:numPr>
        <w:ind w:left="851"/>
      </w:pPr>
      <w:r>
        <w:t>the commercial viability of operating wheelchair accessible vehicles, given the higher capital and running costs associated with providing these services</w:t>
      </w:r>
    </w:p>
    <w:p w14:paraId="2F4422A0" w14:textId="77777777" w:rsidR="00696868" w:rsidRDefault="00696868" w:rsidP="00672D40">
      <w:pPr>
        <w:pStyle w:val="ListParagraph"/>
        <w:numPr>
          <w:ilvl w:val="0"/>
          <w:numId w:val="49"/>
        </w:numPr>
        <w:ind w:left="851"/>
      </w:pPr>
      <w:r>
        <w:t>the extent to which the current wheelchair accessible vehicle fleet is being utilised by customers with disability</w:t>
      </w:r>
    </w:p>
    <w:p w14:paraId="63F124E5" w14:textId="77777777" w:rsidR="00696868" w:rsidRDefault="00696868" w:rsidP="00672D40">
      <w:pPr>
        <w:pStyle w:val="ListParagraph"/>
        <w:numPr>
          <w:ilvl w:val="0"/>
          <w:numId w:val="49"/>
        </w:numPr>
        <w:ind w:left="851"/>
      </w:pPr>
      <w:r>
        <w:t>how industry incentives could be better linked to performance outputs and service delivery for customers with disability, including driver training requirements</w:t>
      </w:r>
    </w:p>
    <w:p w14:paraId="35215E0D" w14:textId="77777777" w:rsidR="00696868" w:rsidRDefault="00696868" w:rsidP="00672D40">
      <w:pPr>
        <w:pStyle w:val="ListParagraph"/>
        <w:numPr>
          <w:ilvl w:val="0"/>
          <w:numId w:val="49"/>
        </w:numPr>
        <w:ind w:left="851"/>
      </w:pPr>
      <w:r>
        <w:t>options for the funding of future incentives, including directly subsidising some aspects of service provision if required, and</w:t>
      </w:r>
    </w:p>
    <w:p w14:paraId="5C21F209" w14:textId="77777777" w:rsidR="00696868" w:rsidRDefault="00696868" w:rsidP="00672D40">
      <w:pPr>
        <w:pStyle w:val="ListParagraph"/>
        <w:numPr>
          <w:ilvl w:val="0"/>
          <w:numId w:val="49"/>
        </w:numPr>
        <w:ind w:left="851"/>
      </w:pPr>
      <w:r>
        <w:t>the function and public value of centralised booking services for wheelchair accessible vehicles, including alternative approaches to delivering reliable booking services for customers requiring wheelchair accessible vehicles.</w:t>
      </w:r>
    </w:p>
    <w:p w14:paraId="6DE329D9" w14:textId="77777777" w:rsidR="00672D40" w:rsidRDefault="00672D40" w:rsidP="0029095C">
      <w:pPr>
        <w:pStyle w:val="Heading2"/>
        <w:numPr>
          <w:ilvl w:val="0"/>
          <w:numId w:val="0"/>
        </w:numPr>
      </w:pPr>
      <w:bookmarkStart w:id="6" w:name="_Toc21956252"/>
    </w:p>
    <w:p w14:paraId="1D4F30E4" w14:textId="77777777" w:rsidR="003B648B" w:rsidRDefault="000D177B" w:rsidP="0029095C">
      <w:pPr>
        <w:pStyle w:val="Heading2"/>
        <w:numPr>
          <w:ilvl w:val="0"/>
          <w:numId w:val="0"/>
        </w:numPr>
      </w:pPr>
      <w:r>
        <w:t>Consultation</w:t>
      </w:r>
      <w:bookmarkEnd w:id="6"/>
    </w:p>
    <w:p w14:paraId="02136AB5" w14:textId="77777777" w:rsidR="00696868" w:rsidRPr="00696868" w:rsidRDefault="00696868" w:rsidP="0029095C">
      <w:pPr>
        <w:ind w:left="0"/>
        <w:rPr>
          <w:lang w:val="en-US"/>
        </w:rPr>
      </w:pPr>
      <w:r w:rsidRPr="00696868">
        <w:rPr>
          <w:lang w:val="en-US"/>
        </w:rPr>
        <w:t xml:space="preserve">The review </w:t>
      </w:r>
      <w:r w:rsidR="000D177B">
        <w:rPr>
          <w:lang w:val="en-US"/>
        </w:rPr>
        <w:t>was</w:t>
      </w:r>
      <w:r w:rsidRPr="00696868">
        <w:rPr>
          <w:lang w:val="en-US"/>
        </w:rPr>
        <w:t xml:space="preserve"> conducted by Transport for NSW.  </w:t>
      </w:r>
    </w:p>
    <w:p w14:paraId="3DF146FE" w14:textId="77777777" w:rsidR="003B648B" w:rsidRDefault="00696868" w:rsidP="0029095C">
      <w:pPr>
        <w:ind w:left="0"/>
        <w:rPr>
          <w:lang w:val="en-US"/>
        </w:rPr>
      </w:pPr>
      <w:r w:rsidRPr="00696868">
        <w:rPr>
          <w:lang w:val="en-US"/>
        </w:rPr>
        <w:t>Consultation involve</w:t>
      </w:r>
      <w:r w:rsidR="000D177B">
        <w:rPr>
          <w:lang w:val="en-US"/>
        </w:rPr>
        <w:t>d</w:t>
      </w:r>
      <w:r w:rsidRPr="00696868">
        <w:rPr>
          <w:lang w:val="en-US"/>
        </w:rPr>
        <w:t xml:space="preserve"> initial industry and ageing and disability stakeholder meetings, the development of a discussion paper, a</w:t>
      </w:r>
      <w:r>
        <w:rPr>
          <w:lang w:val="en-US"/>
        </w:rPr>
        <w:t>nd broader community engagement.</w:t>
      </w:r>
    </w:p>
    <w:p w14:paraId="6C3D62AD" w14:textId="77777777" w:rsidR="000D177B" w:rsidRDefault="000D177B" w:rsidP="000D177B">
      <w:pPr>
        <w:pStyle w:val="Heading2"/>
        <w:numPr>
          <w:ilvl w:val="0"/>
          <w:numId w:val="0"/>
        </w:numPr>
      </w:pPr>
      <w:bookmarkStart w:id="7" w:name="_Toc21956253"/>
      <w:r w:rsidRPr="000D177B">
        <w:t>Methodology</w:t>
      </w:r>
      <w:bookmarkEnd w:id="7"/>
      <w:r w:rsidRPr="000D177B">
        <w:t xml:space="preserve"> </w:t>
      </w:r>
    </w:p>
    <w:p w14:paraId="09FF86FB" w14:textId="77777777" w:rsidR="000D177B" w:rsidRDefault="000D177B" w:rsidP="000D177B">
      <w:pPr>
        <w:pStyle w:val="BodyText"/>
        <w:ind w:left="0"/>
      </w:pPr>
      <w:r w:rsidRPr="00894E5A">
        <w:t>TfNSW conducted one</w:t>
      </w:r>
      <w:r>
        <w:t>-</w:t>
      </w:r>
      <w:r w:rsidRPr="00894E5A">
        <w:t>on</w:t>
      </w:r>
      <w:r>
        <w:t>-</w:t>
      </w:r>
      <w:r w:rsidRPr="00894E5A">
        <w:t>one meetings with key stakeholders throughout May 2017. These included peak bodies representing people with disability and older people, the taxi industry, the community transport industry and Uber. Insights and key concerns from these discussions formed the basis of a discussion paper that was released in September 2017. Open public forums were held in Sydney, Newcastle, Dubbo, Tamworth, Coffs Harbour and Kempsey in October and early November. Written submissions were accepted until 30 November</w:t>
      </w:r>
      <w:r>
        <w:t xml:space="preserve"> 2017</w:t>
      </w:r>
      <w:r w:rsidRPr="00894E5A">
        <w:t xml:space="preserve">. 43 Written submissions were received. </w:t>
      </w:r>
    </w:p>
    <w:p w14:paraId="2AE9EFAD" w14:textId="6BBCF694" w:rsidR="000D177B" w:rsidRDefault="000D177B" w:rsidP="000D177B">
      <w:pPr>
        <w:pStyle w:val="BodyText"/>
        <w:ind w:left="0"/>
      </w:pPr>
      <w:r>
        <w:t xml:space="preserve">PriceWaterhouse Coopers (PwC) was engaged to conduct an assessment of the current financial viability of wheelchair accessible taxi business in NSW and analyse the impact of existing incentives on commercial viability, to the extent where insights can be generated through the analysis of data. PwC collated and analysed data relating to the costs, revenues and specific market conditions that influence the provision of wheelchair accessible point to point </w:t>
      </w:r>
      <w:r w:rsidR="00C826F6">
        <w:t xml:space="preserve">transport </w:t>
      </w:r>
      <w:r>
        <w:t xml:space="preserve">services in NSW. They established baseline cost and revenue profiles of WAT businesses in Sydney, Other Urban and Rural areas using available data sources and select industry consultation. </w:t>
      </w:r>
    </w:p>
    <w:p w14:paraId="6B9C84EE" w14:textId="77777777" w:rsidR="000D177B" w:rsidRPr="000D177B" w:rsidRDefault="000D177B" w:rsidP="000D177B">
      <w:pPr>
        <w:ind w:left="0"/>
      </w:pPr>
    </w:p>
    <w:p w14:paraId="6EA48A6E" w14:textId="77777777" w:rsidR="007E53CF" w:rsidRPr="003C2911" w:rsidRDefault="001B4434" w:rsidP="0029095C">
      <w:pPr>
        <w:pStyle w:val="Heading1"/>
      </w:pPr>
      <w:bookmarkStart w:id="8" w:name="_Toc21956254"/>
      <w:r>
        <w:lastRenderedPageBreak/>
        <w:t>Findings</w:t>
      </w:r>
      <w:bookmarkEnd w:id="8"/>
    </w:p>
    <w:p w14:paraId="395F946C" w14:textId="77777777" w:rsidR="00FC030A" w:rsidRDefault="001B4434" w:rsidP="0029095C">
      <w:pPr>
        <w:pStyle w:val="Heading2"/>
      </w:pPr>
      <w:bookmarkStart w:id="9" w:name="_Offences"/>
      <w:bookmarkStart w:id="10" w:name="_Toc21956255"/>
      <w:bookmarkEnd w:id="9"/>
      <w:r>
        <w:t>Taxi Transport Subsidy Scheme</w:t>
      </w:r>
      <w:bookmarkEnd w:id="10"/>
    </w:p>
    <w:p w14:paraId="22CDD3D2" w14:textId="77777777" w:rsidR="003D010C" w:rsidRDefault="003D010C" w:rsidP="0029095C">
      <w:r>
        <w:t>The current TTSS provides subsidised taxi transport for NSW residents who have certain severe and permanent disabilities. Pr</w:t>
      </w:r>
      <w:r w:rsidR="00D42C0C">
        <w:t xml:space="preserve">edominantly, participants have </w:t>
      </w:r>
      <w:r>
        <w:t>mobility impairment</w:t>
      </w:r>
      <w:r w:rsidR="00D42C0C">
        <w:t>s</w:t>
      </w:r>
      <w:r>
        <w:t xml:space="preserve">, but </w:t>
      </w:r>
      <w:r w:rsidR="000D177B">
        <w:t xml:space="preserve">participants </w:t>
      </w:r>
      <w:r>
        <w:t>may also have intellectual, cognitive, sensory or other impairments. Participants are assigned to two categories:</w:t>
      </w:r>
    </w:p>
    <w:p w14:paraId="4D43D7EF" w14:textId="77777777" w:rsidR="003D010C" w:rsidRDefault="003D010C" w:rsidP="00FD7ACB">
      <w:pPr>
        <w:pStyle w:val="ListParagraph"/>
        <w:numPr>
          <w:ilvl w:val="0"/>
          <w:numId w:val="38"/>
        </w:numPr>
      </w:pPr>
      <w:r>
        <w:t xml:space="preserve">M40 users, who </w:t>
      </w:r>
      <w:r w:rsidR="00D42C0C">
        <w:t>can</w:t>
      </w:r>
      <w:r>
        <w:t xml:space="preserve"> </w:t>
      </w:r>
      <w:r w:rsidR="00D42C0C">
        <w:t>travel in</w:t>
      </w:r>
      <w:r>
        <w:t xml:space="preserve"> </w:t>
      </w:r>
      <w:r w:rsidR="00D42C0C">
        <w:t>a</w:t>
      </w:r>
      <w:r>
        <w:t xml:space="preserve"> seat</w:t>
      </w:r>
      <w:r w:rsidR="00D42C0C">
        <w:t xml:space="preserve"> of the vehicle</w:t>
      </w:r>
      <w:r>
        <w:t>, and</w:t>
      </w:r>
    </w:p>
    <w:p w14:paraId="3EBFD1F4" w14:textId="77777777" w:rsidR="003D010C" w:rsidRDefault="003D010C" w:rsidP="00FD7ACB">
      <w:pPr>
        <w:pStyle w:val="ListParagraph"/>
        <w:numPr>
          <w:ilvl w:val="0"/>
          <w:numId w:val="38"/>
        </w:numPr>
      </w:pPr>
      <w:r>
        <w:t>M50 users, who are unable to transfer to a seat and must travel in a wheelchair accessible vehicle.</w:t>
      </w:r>
    </w:p>
    <w:p w14:paraId="5FE64738" w14:textId="77777777" w:rsidR="00B0349C" w:rsidRDefault="00B0349C" w:rsidP="0029095C">
      <w:r w:rsidRPr="00B0349C">
        <w:t>The subsidy covers 50 percent of the total fare with a maximum subsidy of $60 per trip. There is no overall spending cap for participants under the current Taxi Transport Subsidy Scheme.</w:t>
      </w:r>
    </w:p>
    <w:p w14:paraId="625A492C" w14:textId="77777777" w:rsidR="004C6D44" w:rsidRDefault="00F560A0" w:rsidP="0029095C">
      <w:r>
        <w:t>Participants have told us that the scheme provides a vital link to the community for people with disability. It enables them to attend medical appointments, go shopping and access social activities. In particular, the scheme is essential in enabling many people</w:t>
      </w:r>
      <w:r w:rsidR="004C6D44">
        <w:t xml:space="preserve"> to access education and employment, particularly in rural areas.</w:t>
      </w:r>
      <w:r w:rsidR="004C6D44">
        <w:rPr>
          <w:rStyle w:val="FootnoteReference"/>
        </w:rPr>
        <w:footnoteReference w:id="1"/>
      </w:r>
    </w:p>
    <w:p w14:paraId="3CB60D01" w14:textId="77777777" w:rsidR="007C0311" w:rsidRDefault="007C0311" w:rsidP="0029095C">
      <w:r w:rsidRPr="00B22B6C">
        <w:t>Usage of the scheme has remained relatively consistent over the past 5 years</w:t>
      </w:r>
      <w:r w:rsidR="009C0BAD">
        <w:t xml:space="preserve"> but with a slight increase in M50 trips and a decrease in M40 trips over time</w:t>
      </w:r>
      <w:r w:rsidRPr="00B22B6C">
        <w:t xml:space="preserve">. </w:t>
      </w:r>
      <w:r w:rsidR="00CA79EE">
        <w:t>This trend has continued</w:t>
      </w:r>
      <w:r w:rsidR="00AD2ED5">
        <w:t xml:space="preserve"> since the increase of </w:t>
      </w:r>
      <w:r w:rsidR="00AD2ED5" w:rsidRPr="00AD2ED5">
        <w:t>the incentive payment to wheelchair taxi drivers</w:t>
      </w:r>
      <w:r w:rsidRPr="00B22B6C">
        <w:t xml:space="preserve"> </w:t>
      </w:r>
      <w:r w:rsidR="00AD2ED5">
        <w:t>(</w:t>
      </w:r>
      <w:r w:rsidRPr="00B22B6C">
        <w:t>WATDIS</w:t>
      </w:r>
      <w:r w:rsidR="00AD2ED5">
        <w:t>)</w:t>
      </w:r>
      <w:r w:rsidRPr="00B22B6C">
        <w:t xml:space="preserve"> or the per trip subsidy cap in 2016. </w:t>
      </w:r>
    </w:p>
    <w:p w14:paraId="2F1DA80C" w14:textId="77777777" w:rsidR="007C0311" w:rsidRPr="007C0311" w:rsidRDefault="007C0311" w:rsidP="0029095C">
      <w:pPr>
        <w:rPr>
          <w:i/>
          <w:color w:val="1F497D" w:themeColor="text2"/>
          <w:sz w:val="18"/>
          <w:szCs w:val="18"/>
        </w:rPr>
      </w:pPr>
      <w:r>
        <w:rPr>
          <w:i/>
          <w:color w:val="1F497D" w:themeColor="text2"/>
          <w:sz w:val="18"/>
          <w:szCs w:val="18"/>
        </w:rPr>
        <w:t>Scheme trips by month</w:t>
      </w:r>
    </w:p>
    <w:p w14:paraId="1FC48F2E" w14:textId="77777777" w:rsidR="007C0311" w:rsidRDefault="007C0311" w:rsidP="0029095C">
      <w:r>
        <w:rPr>
          <w:noProof/>
          <w:lang w:eastAsia="en-AU"/>
        </w:rPr>
        <w:drawing>
          <wp:inline distT="0" distB="0" distL="0" distR="0" wp14:anchorId="5ED0051D" wp14:editId="6D61205E">
            <wp:extent cx="5850890" cy="3132351"/>
            <wp:effectExtent l="0" t="0" r="16510"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2B5A1BD" w14:textId="77777777" w:rsidR="0079504D" w:rsidRDefault="0079504D">
      <w:pPr>
        <w:pStyle w:val="Heading3"/>
      </w:pPr>
      <w:bookmarkStart w:id="11" w:name="_Toc21956256"/>
      <w:r>
        <w:lastRenderedPageBreak/>
        <w:t>Feedback on eligibility criteria</w:t>
      </w:r>
      <w:bookmarkEnd w:id="11"/>
    </w:p>
    <w:p w14:paraId="1D0ABB2F" w14:textId="77777777" w:rsidR="0079504D" w:rsidRDefault="00315244" w:rsidP="0029095C">
      <w:r>
        <w:t xml:space="preserve">The review sought to clarify the relationship between the TTSS and other transport options, including public transport, and the impact on scheme eligibility issues. </w:t>
      </w:r>
      <w:r w:rsidR="00153B49">
        <w:t>The TTSS</w:t>
      </w:r>
      <w:r w:rsidR="00153B49" w:rsidRPr="00153B49">
        <w:t xml:space="preserve"> is sometimes referred to as being </w:t>
      </w:r>
      <w:r w:rsidR="00433719">
        <w:t xml:space="preserve">an alternative </w:t>
      </w:r>
      <w:r w:rsidR="00153B49" w:rsidRPr="00153B49">
        <w:t xml:space="preserve">for </w:t>
      </w:r>
      <w:r w:rsidR="00433719">
        <w:t>people</w:t>
      </w:r>
      <w:r w:rsidR="00153B49" w:rsidRPr="00153B49">
        <w:t xml:space="preserve"> who are unable to use public transport</w:t>
      </w:r>
      <w:r w:rsidR="00433719">
        <w:t xml:space="preserve"> as a result of their disability</w:t>
      </w:r>
      <w:r w:rsidR="00153B49">
        <w:t xml:space="preserve">. </w:t>
      </w:r>
      <w:r w:rsidR="00AD2ED5">
        <w:t>However, t</w:t>
      </w:r>
      <w:r w:rsidR="00153B49" w:rsidRPr="00153B49">
        <w:t>his is not a criterion for eligibility</w:t>
      </w:r>
      <w:r w:rsidR="00153B49">
        <w:t xml:space="preserve"> and m</w:t>
      </w:r>
      <w:r w:rsidR="00153B49" w:rsidRPr="00153B49">
        <w:t>any participants can and do use public transport. Conversely, there are people who feel they cannot use public transport safely who would not be eligible</w:t>
      </w:r>
      <w:r w:rsidR="00AD2ED5">
        <w:t xml:space="preserve"> for the TTSS</w:t>
      </w:r>
      <w:r w:rsidR="00153B49" w:rsidRPr="00153B49">
        <w:t xml:space="preserve">, for example </w:t>
      </w:r>
      <w:r w:rsidR="00433719">
        <w:t>people with a condition which affects their mobility but is not permanent</w:t>
      </w:r>
      <w:r w:rsidR="00153B49" w:rsidRPr="00153B49">
        <w:t xml:space="preserve">. </w:t>
      </w:r>
    </w:p>
    <w:p w14:paraId="3FBBC6A7" w14:textId="77777777" w:rsidR="0079504D" w:rsidRDefault="0079504D" w:rsidP="0029095C">
      <w:r w:rsidRPr="00153B49">
        <w:t xml:space="preserve">The </w:t>
      </w:r>
      <w:r>
        <w:t xml:space="preserve">current </w:t>
      </w:r>
      <w:r w:rsidRPr="00153B49">
        <w:t>eligibility criteria recognise the unique transport needs of people with disability who, even where they can use public transport, may need to use point to point transport to get to and from transport nodes or in exceptional circumstances. The scheme provides a vital link to the community for people with disability to participate in day to day activities</w:t>
      </w:r>
      <w:r w:rsidR="00E54264">
        <w:t>.</w:t>
      </w:r>
      <w:r w:rsidRPr="00153B49">
        <w:t xml:space="preserve"> </w:t>
      </w:r>
      <w:r>
        <w:t xml:space="preserve">During the initial consultation sessions with peak disability organisations and TTSS users, the following examples were provided on the circumstances where </w:t>
      </w:r>
      <w:r w:rsidRPr="00153B49">
        <w:t xml:space="preserve">a person with disability </w:t>
      </w:r>
      <w:r w:rsidR="009D7031">
        <w:t xml:space="preserve">who </w:t>
      </w:r>
      <w:r w:rsidRPr="00153B49">
        <w:t>ordinarily travels by public transport</w:t>
      </w:r>
      <w:r>
        <w:t xml:space="preserve"> may find public transport unsafe or impractical:</w:t>
      </w:r>
    </w:p>
    <w:p w14:paraId="21C0C093" w14:textId="77777777" w:rsidR="00153B49" w:rsidRPr="00153B49" w:rsidRDefault="00153B49" w:rsidP="00FD7ACB">
      <w:pPr>
        <w:pStyle w:val="ListParagraph"/>
        <w:numPr>
          <w:ilvl w:val="0"/>
          <w:numId w:val="29"/>
        </w:numPr>
      </w:pPr>
      <w:r w:rsidRPr="00153B49">
        <w:t>Rain can make it unsafe to use an electric wheelchair outdoors.</w:t>
      </w:r>
    </w:p>
    <w:p w14:paraId="7AA87AF3" w14:textId="77777777" w:rsidR="00153B49" w:rsidRPr="00153B49" w:rsidRDefault="00153B49" w:rsidP="00FD7ACB">
      <w:pPr>
        <w:pStyle w:val="ListParagraph"/>
        <w:numPr>
          <w:ilvl w:val="0"/>
          <w:numId w:val="29"/>
        </w:numPr>
      </w:pPr>
      <w:r w:rsidRPr="00153B49">
        <w:t>People with high support needs must work around the availability of attendants and carers.</w:t>
      </w:r>
    </w:p>
    <w:p w14:paraId="2C81BB48" w14:textId="77777777" w:rsidR="00153B49" w:rsidRPr="00153B49" w:rsidRDefault="00153B49" w:rsidP="00FD7ACB">
      <w:pPr>
        <w:pStyle w:val="ListParagraph"/>
        <w:numPr>
          <w:ilvl w:val="0"/>
          <w:numId w:val="29"/>
        </w:numPr>
      </w:pPr>
      <w:r w:rsidRPr="00153B49">
        <w:t>Service disruptions can make an accessible journey inaccessible.</w:t>
      </w:r>
    </w:p>
    <w:p w14:paraId="07FA8E81" w14:textId="77777777" w:rsidR="00153B49" w:rsidRDefault="00153B49" w:rsidP="00FD7ACB">
      <w:pPr>
        <w:pStyle w:val="ListParagraph"/>
        <w:numPr>
          <w:ilvl w:val="0"/>
          <w:numId w:val="29"/>
        </w:numPr>
      </w:pPr>
      <w:r w:rsidRPr="00153B49">
        <w:t>Roadworks, construction and inclement weather can make it difficult for a person with vision impairment to orient themselves.</w:t>
      </w:r>
    </w:p>
    <w:p w14:paraId="32399A12" w14:textId="77777777" w:rsidR="00EF030E" w:rsidRPr="00840C10" w:rsidRDefault="00EF030E" w:rsidP="0029095C">
      <w:pPr>
        <w:rPr>
          <w:b/>
          <w:color w:val="1F497D" w:themeColor="text2"/>
        </w:rPr>
      </w:pPr>
      <w:r w:rsidRPr="00840C10">
        <w:rPr>
          <w:b/>
          <w:color w:val="1F497D" w:themeColor="text2"/>
        </w:rPr>
        <w:t>Comment:</w:t>
      </w:r>
    </w:p>
    <w:p w14:paraId="66D868A6" w14:textId="77777777" w:rsidR="008B1DDA" w:rsidRDefault="00B0349C" w:rsidP="0029095C">
      <w:r w:rsidRPr="00B0349C">
        <w:t xml:space="preserve">No </w:t>
      </w:r>
      <w:r w:rsidR="00B96C48">
        <w:t xml:space="preserve">other </w:t>
      </w:r>
      <w:r w:rsidRPr="00B0349C">
        <w:t xml:space="preserve">feedback was received through written submissions </w:t>
      </w:r>
      <w:r w:rsidR="009C0BAD">
        <w:t>on</w:t>
      </w:r>
      <w:r w:rsidRPr="00B0349C">
        <w:t xml:space="preserve"> the NSW eligibility criteria and initial consultations with peak bodies </w:t>
      </w:r>
      <w:r w:rsidR="009C0BAD">
        <w:t>indicated</w:t>
      </w:r>
      <w:r w:rsidRPr="00B0349C">
        <w:t xml:space="preserve"> general satisfaction with the </w:t>
      </w:r>
      <w:r w:rsidR="009D7031">
        <w:t xml:space="preserve">existing </w:t>
      </w:r>
      <w:r w:rsidRPr="00B0349C">
        <w:t>eligibility criteria.</w:t>
      </w:r>
      <w:r w:rsidR="00A25F2B">
        <w:t xml:space="preserve"> </w:t>
      </w:r>
    </w:p>
    <w:p w14:paraId="1733866B" w14:textId="77777777" w:rsidR="000D177B" w:rsidRPr="00EE3CBD" w:rsidRDefault="00EE3CBD" w:rsidP="0029095C">
      <w:pPr>
        <w:rPr>
          <w:b/>
          <w:color w:val="1F497D" w:themeColor="text2"/>
        </w:rPr>
      </w:pPr>
      <w:r w:rsidRPr="00EE3CBD">
        <w:rPr>
          <w:b/>
          <w:color w:val="1F497D" w:themeColor="text2"/>
        </w:rPr>
        <w:t>Finding:</w:t>
      </w:r>
    </w:p>
    <w:p w14:paraId="2EB86FBE" w14:textId="12537033" w:rsidR="00EE3CBD" w:rsidRDefault="00731F26" w:rsidP="0029095C">
      <w:r>
        <w:t xml:space="preserve">The </w:t>
      </w:r>
      <w:r w:rsidR="00B50C82">
        <w:t xml:space="preserve">scheme provides a valuable support for people with severe and permanent disability, in some cases enabling the use of public transport through first mile/last mile journeys, and in other cases providing an alternative where public transport use is not possible.   </w:t>
      </w:r>
    </w:p>
    <w:p w14:paraId="74A3A0B1" w14:textId="77777777" w:rsidR="00153B49" w:rsidRDefault="0079504D">
      <w:pPr>
        <w:pStyle w:val="Heading3"/>
      </w:pPr>
      <w:bookmarkStart w:id="12" w:name="_Toc21956257"/>
      <w:r>
        <w:t xml:space="preserve">Feedback on the </w:t>
      </w:r>
      <w:r w:rsidR="00315244">
        <w:t xml:space="preserve">adequacy of the </w:t>
      </w:r>
      <w:r>
        <w:t>subsidy</w:t>
      </w:r>
      <w:bookmarkEnd w:id="12"/>
    </w:p>
    <w:p w14:paraId="445889E1" w14:textId="77777777" w:rsidR="00433719" w:rsidRDefault="00433719" w:rsidP="0029095C">
      <w:r w:rsidRPr="002F7389">
        <w:t xml:space="preserve">Of the </w:t>
      </w:r>
      <w:r w:rsidR="00D42C0C">
        <w:t>ten</w:t>
      </w:r>
      <w:r w:rsidRPr="002F7389">
        <w:t xml:space="preserve"> written submissions</w:t>
      </w:r>
      <w:r w:rsidRPr="0079504D">
        <w:t xml:space="preserve"> from </w:t>
      </w:r>
      <w:r>
        <w:t>organisations representing people with disability</w:t>
      </w:r>
      <w:r w:rsidRPr="0079504D">
        <w:t xml:space="preserve"> </w:t>
      </w:r>
      <w:r w:rsidR="009C0BAD">
        <w:t>most</w:t>
      </w:r>
      <w:r>
        <w:t xml:space="preserve"> did not</w:t>
      </w:r>
      <w:r w:rsidRPr="0079504D">
        <w:t xml:space="preserve"> propose changes to the existing rate or structure of the subsidy</w:t>
      </w:r>
      <w:r>
        <w:t xml:space="preserve">. There were </w:t>
      </w:r>
      <w:r w:rsidR="00C84068">
        <w:t>three</w:t>
      </w:r>
      <w:r w:rsidR="00C84068" w:rsidRPr="0079504D">
        <w:t xml:space="preserve"> </w:t>
      </w:r>
      <w:r w:rsidRPr="0079504D">
        <w:t>exception</w:t>
      </w:r>
      <w:r>
        <w:t>s</w:t>
      </w:r>
      <w:r w:rsidRPr="0079504D">
        <w:t xml:space="preserve"> who argue</w:t>
      </w:r>
      <w:r>
        <w:t>d</w:t>
      </w:r>
      <w:r w:rsidRPr="0079504D">
        <w:t xml:space="preserve"> </w:t>
      </w:r>
      <w:r w:rsidR="009C0BAD">
        <w:t>for</w:t>
      </w:r>
      <w:r>
        <w:t xml:space="preserve"> a higher rate of subsidy:</w:t>
      </w:r>
    </w:p>
    <w:p w14:paraId="13AE6604" w14:textId="77777777" w:rsidR="00433719" w:rsidRDefault="00433719" w:rsidP="00672D40">
      <w:pPr>
        <w:pStyle w:val="ListParagraph"/>
        <w:numPr>
          <w:ilvl w:val="0"/>
          <w:numId w:val="49"/>
        </w:numPr>
      </w:pPr>
      <w:r w:rsidRPr="0079504D">
        <w:t xml:space="preserve">Spinal Cord Injuries Australia submitted that many scheme participants were on limited incomes and could not afford point to point transport even with the subsidy. They recommended that 75 percent of </w:t>
      </w:r>
      <w:r w:rsidR="00C84068">
        <w:t xml:space="preserve">the cost of </w:t>
      </w:r>
      <w:r w:rsidRPr="0079504D">
        <w:t xml:space="preserve">all trips should be subsidised, at least for a limited number of trips per year. </w:t>
      </w:r>
    </w:p>
    <w:p w14:paraId="248C62CC" w14:textId="77777777" w:rsidR="00433719" w:rsidRDefault="00433719" w:rsidP="00672D40">
      <w:pPr>
        <w:pStyle w:val="ListParagraph"/>
        <w:numPr>
          <w:ilvl w:val="0"/>
          <w:numId w:val="49"/>
        </w:numPr>
      </w:pPr>
      <w:r w:rsidRPr="0079504D">
        <w:t>The National Council of Social Services also asked for an increase in the rate of subsidy to 75 percent for participants who rely solely on point to point transport.</w:t>
      </w:r>
    </w:p>
    <w:p w14:paraId="38B7008E" w14:textId="77777777" w:rsidR="00236100" w:rsidRDefault="00236100" w:rsidP="00672D40">
      <w:pPr>
        <w:pStyle w:val="ListParagraph"/>
        <w:numPr>
          <w:ilvl w:val="0"/>
          <w:numId w:val="49"/>
        </w:numPr>
      </w:pPr>
      <w:r>
        <w:t>The Disability Council suggested a level of subsidy greater tha</w:t>
      </w:r>
      <w:r w:rsidR="005D6FC3">
        <w:t>n</w:t>
      </w:r>
      <w:r>
        <w:t xml:space="preserve"> 50% be considered </w:t>
      </w:r>
      <w:r w:rsidRPr="00D83860">
        <w:t>for those people who face higher daily expenses, or who are on lower incomes and where alternative transport is not an option.</w:t>
      </w:r>
    </w:p>
    <w:p w14:paraId="5F9D1642" w14:textId="77777777" w:rsidR="00EF030E" w:rsidRPr="00840C10" w:rsidDel="00EE3CBD" w:rsidRDefault="00EF030E" w:rsidP="0029095C">
      <w:pPr>
        <w:rPr>
          <w:b/>
          <w:color w:val="1F497D" w:themeColor="text2"/>
        </w:rPr>
      </w:pPr>
      <w:r w:rsidRPr="00840C10" w:rsidDel="00EE3CBD">
        <w:rPr>
          <w:b/>
          <w:color w:val="1F497D" w:themeColor="text2"/>
        </w:rPr>
        <w:lastRenderedPageBreak/>
        <w:t>Comment:</w:t>
      </w:r>
    </w:p>
    <w:p w14:paraId="286BD78A" w14:textId="77777777" w:rsidR="00D05279" w:rsidRDefault="009C0BAD" w:rsidP="0029095C">
      <w:r>
        <w:t>As indicated from a 2013 survey of TTSS</w:t>
      </w:r>
      <w:r w:rsidR="00236100">
        <w:t xml:space="preserve"> participants</w:t>
      </w:r>
      <w:r>
        <w:t>, many</w:t>
      </w:r>
      <w:r w:rsidR="00236100">
        <w:t xml:space="preserve"> on the scheme are on limited incomes. </w:t>
      </w:r>
      <w:r w:rsidR="00236100">
        <w:rPr>
          <w:szCs w:val="22"/>
        </w:rPr>
        <w:t>49</w:t>
      </w:r>
      <w:r>
        <w:rPr>
          <w:szCs w:val="22"/>
        </w:rPr>
        <w:t xml:space="preserve"> percent</w:t>
      </w:r>
      <w:r w:rsidR="00236100">
        <w:rPr>
          <w:szCs w:val="22"/>
        </w:rPr>
        <w:t xml:space="preserve"> of M50 users and 70</w:t>
      </w:r>
      <w:r>
        <w:rPr>
          <w:szCs w:val="22"/>
        </w:rPr>
        <w:t xml:space="preserve"> percent</w:t>
      </w:r>
      <w:r w:rsidR="00236100">
        <w:rPr>
          <w:szCs w:val="22"/>
        </w:rPr>
        <w:t xml:space="preserve"> of M40 users reported a household income of less than $20,000 per annum.</w:t>
      </w:r>
      <w:r w:rsidR="00236100">
        <w:rPr>
          <w:rStyle w:val="FootnoteReference"/>
          <w:szCs w:val="22"/>
        </w:rPr>
        <w:footnoteReference w:id="2"/>
      </w:r>
      <w:r w:rsidR="00236100">
        <w:rPr>
          <w:szCs w:val="22"/>
        </w:rPr>
        <w:t xml:space="preserve"> In many cases, this was someone living alone whose main or sole source of income was the Disability Support or Age Pension. </w:t>
      </w:r>
      <w:r w:rsidR="00D42C0C">
        <w:t xml:space="preserve">Currently the scheme is not means tested and therefore no information is collected regarding the </w:t>
      </w:r>
      <w:r w:rsidR="00772AED">
        <w:t>income of scheme participants</w:t>
      </w:r>
      <w:r w:rsidR="00D42C0C">
        <w:t xml:space="preserve">, nor </w:t>
      </w:r>
      <w:r w:rsidR="00F517EA">
        <w:t xml:space="preserve">is any assessment made of whether participants </w:t>
      </w:r>
      <w:r w:rsidR="00D42C0C">
        <w:t xml:space="preserve">are </w:t>
      </w:r>
      <w:r w:rsidR="00F517EA">
        <w:t>solely reliant on point to point</w:t>
      </w:r>
      <w:r w:rsidR="00D42C0C">
        <w:t xml:space="preserve"> transport</w:t>
      </w:r>
      <w:r w:rsidR="00B66C53">
        <w:t>, or use the scheme in conjunction with other forms of transport</w:t>
      </w:r>
      <w:r w:rsidR="00D42C0C">
        <w:t xml:space="preserve">. </w:t>
      </w:r>
    </w:p>
    <w:p w14:paraId="4C38A2BF" w14:textId="7249BE80" w:rsidR="004C6D44" w:rsidRDefault="009C0BAD" w:rsidP="0029095C">
      <w:r>
        <w:t>The TTSS</w:t>
      </w:r>
      <w:r w:rsidR="004C6D44">
        <w:t xml:space="preserve"> is not the only source of transport funding for people with disability. </w:t>
      </w:r>
      <w:r w:rsidR="00175E6C">
        <w:t xml:space="preserve">People aged over 65 also may have access to community transport through the </w:t>
      </w:r>
      <w:r w:rsidR="00175E6C" w:rsidRPr="00175E6C">
        <w:t>Commonwealth Home Support Program</w:t>
      </w:r>
      <w:r w:rsidR="00175E6C">
        <w:t xml:space="preserve">. </w:t>
      </w:r>
      <w:r w:rsidR="004C6D44">
        <w:t>NDIS participants will generally be able to access funding for transport assistance if the participant cannot use public transport without substantial difficulty due to their disability.</w:t>
      </w:r>
      <w:r w:rsidR="004C6D44">
        <w:rPr>
          <w:rStyle w:val="FootnoteReference"/>
        </w:rPr>
        <w:footnoteReference w:id="3"/>
      </w:r>
      <w:r w:rsidR="004C6D44">
        <w:t xml:space="preserve"> </w:t>
      </w:r>
      <w:r w:rsidR="00385FDA">
        <w:t xml:space="preserve">NDIS </w:t>
      </w:r>
      <w:r w:rsidR="004C6D44">
        <w:t xml:space="preserve">Participants may also </w:t>
      </w:r>
      <w:r w:rsidR="00175E6C">
        <w:t>flexibly use their c</w:t>
      </w:r>
      <w:r w:rsidR="004C6D44">
        <w:t xml:space="preserve">ore budgets to fund additional taxi transport if they choose. </w:t>
      </w:r>
    </w:p>
    <w:p w14:paraId="33C85C85" w14:textId="33B385E7" w:rsidR="00C93E49" w:rsidRDefault="00AC0DFA" w:rsidP="0029095C">
      <w:r>
        <w:t xml:space="preserve">One of the potential benefits of moving to a </w:t>
      </w:r>
      <w:r w:rsidR="0062424F">
        <w:t>provider</w:t>
      </w:r>
      <w:r w:rsidR="009C0BAD">
        <w:t xml:space="preserve"> </w:t>
      </w:r>
      <w:r>
        <w:t xml:space="preserve">neutral scheme is the possibility of lower prices due to increased competition. </w:t>
      </w:r>
      <w:r w:rsidR="00C93E49" w:rsidRPr="008557F7">
        <w:t>Over the coming years</w:t>
      </w:r>
      <w:r w:rsidR="00C93E49">
        <w:t xml:space="preserve">, as </w:t>
      </w:r>
      <w:r w:rsidR="00C93E49" w:rsidRPr="006F4D9A">
        <w:t xml:space="preserve">TfNSW </w:t>
      </w:r>
      <w:r w:rsidR="00C93E49">
        <w:t xml:space="preserve">rolls out </w:t>
      </w:r>
      <w:r w:rsidR="00FF683C">
        <w:t>administrative upgrades</w:t>
      </w:r>
      <w:r w:rsidR="00C93E49" w:rsidRPr="006F4D9A">
        <w:t xml:space="preserve"> better data analysis capacity</w:t>
      </w:r>
      <w:r w:rsidR="00C93E49">
        <w:t xml:space="preserve"> will be introduced that can</w:t>
      </w:r>
      <w:r w:rsidR="00C93E49" w:rsidRPr="006F4D9A">
        <w:t xml:space="preserve"> monitor changes in service levels and pricing. In the future, changes to the rate of subsidy could be justified</w:t>
      </w:r>
      <w:r w:rsidR="00385FDA">
        <w:t xml:space="preserve"> in order to maintain or improve service levels</w:t>
      </w:r>
      <w:r w:rsidR="00C93E49">
        <w:t>.</w:t>
      </w:r>
    </w:p>
    <w:p w14:paraId="289219B5" w14:textId="77777777" w:rsidR="00EE3CBD" w:rsidRPr="00EE3CBD" w:rsidRDefault="00EE3CBD" w:rsidP="00EE3CBD">
      <w:pPr>
        <w:rPr>
          <w:b/>
          <w:color w:val="1F497D" w:themeColor="text2"/>
        </w:rPr>
      </w:pPr>
      <w:r w:rsidRPr="00EE3CBD">
        <w:rPr>
          <w:b/>
          <w:color w:val="1F497D" w:themeColor="text2"/>
        </w:rPr>
        <w:t>Finding:</w:t>
      </w:r>
    </w:p>
    <w:p w14:paraId="43E104E0" w14:textId="4CDB3A32" w:rsidR="00FD7ACB" w:rsidRPr="00FD7ACB" w:rsidRDefault="005A472F" w:rsidP="00FD7ACB">
      <w:r w:rsidRPr="00790442">
        <w:t>Increased choice for customers, t</w:t>
      </w:r>
      <w:r w:rsidR="00D731A2" w:rsidRPr="00790442">
        <w:t>hrough a provider neutral</w:t>
      </w:r>
      <w:r w:rsidRPr="00790442">
        <w:t xml:space="preserve"> TTSS, </w:t>
      </w:r>
      <w:r w:rsidR="00D731A2" w:rsidRPr="00790442">
        <w:t xml:space="preserve">in conjunction with the availability of </w:t>
      </w:r>
      <w:r w:rsidRPr="00790442">
        <w:t>NDIS and aged care funding</w:t>
      </w:r>
      <w:r w:rsidR="00D731A2" w:rsidRPr="00790442">
        <w:t>, could deliver</w:t>
      </w:r>
      <w:r w:rsidRPr="00790442">
        <w:t xml:space="preserve"> </w:t>
      </w:r>
      <w:r w:rsidR="00D731A2" w:rsidRPr="00790442">
        <w:t>improvements in cost and quality of services. Improved capacity for data capture will enable changes to be monitored.</w:t>
      </w:r>
      <w:r w:rsidRPr="00790442">
        <w:t xml:space="preserve"> </w:t>
      </w:r>
    </w:p>
    <w:p w14:paraId="2A84E8CE" w14:textId="77777777" w:rsidR="00EF030E" w:rsidRPr="00840C10" w:rsidRDefault="00EF030E" w:rsidP="00840C10">
      <w:pPr>
        <w:pStyle w:val="Heading2"/>
        <w:numPr>
          <w:ilvl w:val="0"/>
          <w:numId w:val="0"/>
        </w:numPr>
        <w:rPr>
          <w:sz w:val="22"/>
          <w:szCs w:val="22"/>
        </w:rPr>
      </w:pPr>
      <w:bookmarkStart w:id="13" w:name="_Toc21956258"/>
      <w:r w:rsidRPr="00840C10">
        <w:rPr>
          <w:sz w:val="22"/>
          <w:szCs w:val="22"/>
        </w:rPr>
        <w:t>3.1.3 Feedback on a</w:t>
      </w:r>
      <w:r w:rsidR="00CC2F89" w:rsidRPr="00840C10">
        <w:rPr>
          <w:sz w:val="22"/>
          <w:szCs w:val="22"/>
        </w:rPr>
        <w:t xml:space="preserve"> provider neutral subsidy scheme</w:t>
      </w:r>
      <w:bookmarkEnd w:id="13"/>
    </w:p>
    <w:p w14:paraId="47E40219" w14:textId="77777777" w:rsidR="00CA296A" w:rsidRDefault="00CA296A" w:rsidP="0029095C">
      <w:pPr>
        <w:spacing w:before="100" w:beforeAutospacing="1"/>
      </w:pPr>
      <w:r w:rsidRPr="00B27893">
        <w:rPr>
          <w:rFonts w:cs="Arial"/>
          <w:lang w:eastAsia="en-AU"/>
        </w:rPr>
        <w:t xml:space="preserve">The Point to Point Transport Taskforce Report made recommendations about the Taxi Transport Subsidy Scheme, including that the </w:t>
      </w:r>
      <w:r w:rsidR="00824048">
        <w:rPr>
          <w:rFonts w:cs="Arial"/>
          <w:lang w:eastAsia="en-AU"/>
        </w:rPr>
        <w:t xml:space="preserve">NSW </w:t>
      </w:r>
      <w:r w:rsidR="00385FDA">
        <w:rPr>
          <w:rFonts w:cs="Arial"/>
          <w:lang w:eastAsia="en-AU"/>
        </w:rPr>
        <w:t xml:space="preserve">Government </w:t>
      </w:r>
      <w:r w:rsidRPr="00B27893">
        <w:rPr>
          <w:rFonts w:cs="Arial"/>
          <w:lang w:eastAsia="en-AU"/>
        </w:rPr>
        <w:t>move to a service provider-neutral transport subsidy scheme for people with disabilities.</w:t>
      </w:r>
      <w:r>
        <w:rPr>
          <w:rFonts w:cs="Arial"/>
          <w:lang w:eastAsia="en-AU"/>
        </w:rPr>
        <w:t xml:space="preserve"> </w:t>
      </w:r>
      <w:r w:rsidR="00385FDA">
        <w:rPr>
          <w:rFonts w:cs="Arial"/>
          <w:lang w:eastAsia="en-AU"/>
        </w:rPr>
        <w:t>The review found that t</w:t>
      </w:r>
      <w:r>
        <w:rPr>
          <w:rFonts w:cs="Arial"/>
          <w:lang w:eastAsia="en-AU"/>
        </w:rPr>
        <w:t>here was broad support from disabil</w:t>
      </w:r>
      <w:r w:rsidR="002B7B87">
        <w:rPr>
          <w:rFonts w:cs="Arial"/>
          <w:lang w:eastAsia="en-AU"/>
        </w:rPr>
        <w:t>ity organisations for this move.</w:t>
      </w:r>
    </w:p>
    <w:p w14:paraId="11315C11" w14:textId="77777777" w:rsidR="00CC2F89" w:rsidRPr="00B27893" w:rsidRDefault="00CC2F89" w:rsidP="0029095C">
      <w:pPr>
        <w:spacing w:before="100" w:beforeAutospacing="1"/>
      </w:pPr>
      <w:r w:rsidRPr="00B27893">
        <w:t>Vision Australia stated in their submission:</w:t>
      </w:r>
    </w:p>
    <w:p w14:paraId="2DA5A9A1" w14:textId="77777777" w:rsidR="00CC2F89" w:rsidRPr="00B27893" w:rsidRDefault="00CC2F89" w:rsidP="0029095C">
      <w:pPr>
        <w:spacing w:before="100" w:beforeAutospacing="1"/>
        <w:ind w:left="720"/>
        <w:rPr>
          <w:i/>
        </w:rPr>
      </w:pPr>
      <w:r w:rsidRPr="00B27893">
        <w:rPr>
          <w:i/>
        </w:rPr>
        <w:t>The underlying principle should be that the TTSS follows the individual rather than a particular service offering. This would be consistent with individualised, person-centred funding mod</w:t>
      </w:r>
      <w:r>
        <w:rPr>
          <w:i/>
        </w:rPr>
        <w:t>els being used in the National D</w:t>
      </w:r>
      <w:r w:rsidRPr="00B27893">
        <w:rPr>
          <w:i/>
        </w:rPr>
        <w:t>isability Insurance Scheme (NDIS).</w:t>
      </w:r>
    </w:p>
    <w:p w14:paraId="47695AD5" w14:textId="77777777" w:rsidR="00CC2F89" w:rsidRPr="00B27893" w:rsidRDefault="00CC2F89" w:rsidP="0029095C">
      <w:pPr>
        <w:spacing w:before="100" w:beforeAutospacing="1"/>
      </w:pPr>
      <w:r w:rsidRPr="00B27893">
        <w:t>People with Disability Australia noted:</w:t>
      </w:r>
    </w:p>
    <w:p w14:paraId="2FCE72F3" w14:textId="77777777" w:rsidR="00CC2F89" w:rsidRPr="00B27893" w:rsidRDefault="00CC2F89" w:rsidP="0029095C">
      <w:pPr>
        <w:spacing w:before="100" w:beforeAutospacing="1"/>
        <w:ind w:left="720"/>
        <w:rPr>
          <w:i/>
        </w:rPr>
      </w:pPr>
      <w:r w:rsidRPr="00B27893">
        <w:rPr>
          <w:rFonts w:eastAsia="Arial"/>
          <w:i/>
        </w:rPr>
        <w:t>People with disability should have the same transport options as other commuters. Non-traditional services such as Uber lower everyday transport costs, and by widening the reach of subsidies and incentives in this area the market has the potential to drive quality and competition in order to meet the needs of people with disability.</w:t>
      </w:r>
    </w:p>
    <w:p w14:paraId="1E1C9864" w14:textId="77777777" w:rsidR="00AE783F" w:rsidRDefault="00CC2F89" w:rsidP="0029095C">
      <w:pPr>
        <w:spacing w:before="100" w:beforeAutospacing="1"/>
      </w:pPr>
      <w:r w:rsidRPr="00B27893">
        <w:lastRenderedPageBreak/>
        <w:t xml:space="preserve">However, </w:t>
      </w:r>
      <w:r w:rsidR="00385FDA">
        <w:t xml:space="preserve">some </w:t>
      </w:r>
      <w:r w:rsidRPr="00B27893">
        <w:t xml:space="preserve">submissions </w:t>
      </w:r>
      <w:r w:rsidR="00385FDA">
        <w:t>suggested</w:t>
      </w:r>
      <w:r w:rsidRPr="00B27893">
        <w:t xml:space="preserve"> imposing minimum requirements on service providers </w:t>
      </w:r>
      <w:r w:rsidR="0079049D">
        <w:t xml:space="preserve">in order for them </w:t>
      </w:r>
      <w:r w:rsidR="00A24DFF">
        <w:t xml:space="preserve">to have access to the scheme, particularly </w:t>
      </w:r>
      <w:r w:rsidRPr="00B27893">
        <w:t>in the areas of driver training, accessibility, safety</w:t>
      </w:r>
      <w:r w:rsidR="00824048">
        <w:t xml:space="preserve"> and</w:t>
      </w:r>
      <w:r w:rsidR="00824048" w:rsidRPr="00B27893">
        <w:t xml:space="preserve"> </w:t>
      </w:r>
      <w:r w:rsidRPr="00B27893">
        <w:t xml:space="preserve">minimum levels of wheelchair jobs completed for </w:t>
      </w:r>
      <w:r w:rsidR="0079049D">
        <w:t>Wheelchair Accessible Vehicles (</w:t>
      </w:r>
      <w:r w:rsidRPr="00B27893">
        <w:t>WAVs</w:t>
      </w:r>
      <w:r w:rsidR="0079049D">
        <w:t>)</w:t>
      </w:r>
      <w:r w:rsidRPr="00B27893">
        <w:t xml:space="preserve">. </w:t>
      </w:r>
    </w:p>
    <w:p w14:paraId="4A0EEC13" w14:textId="77777777" w:rsidR="00CC2F89" w:rsidRDefault="00CC2F89" w:rsidP="0029095C">
      <w:pPr>
        <w:spacing w:before="100" w:beforeAutospacing="1"/>
      </w:pPr>
      <w:r w:rsidRPr="00B27893">
        <w:t xml:space="preserve">Spinal Cord Injuries Australia </w:t>
      </w:r>
      <w:r w:rsidR="0079049D">
        <w:t>indicated</w:t>
      </w:r>
      <w:r w:rsidRPr="00B27893">
        <w:t xml:space="preserve"> that the NSW Government must ensure that the subsidy can only be used in a WAV that meets requirements for allocated space for wheelchairs, boarding devices and restraints and where “the driver has passed an accredited training course on how to competently load and unload a passenger using </w:t>
      </w:r>
      <w:r w:rsidRPr="00C269E8">
        <w:rPr>
          <w:szCs w:val="22"/>
        </w:rPr>
        <w:t>a wheelchair, applying the wheelchair restraints and seatbelt”.</w:t>
      </w:r>
      <w:r w:rsidRPr="00C269E8">
        <w:rPr>
          <w:color w:val="000000"/>
          <w:spacing w:val="4"/>
          <w:szCs w:val="22"/>
          <w:vertAlign w:val="superscript"/>
        </w:rPr>
        <w:footnoteReference w:id="4"/>
      </w:r>
      <w:r w:rsidRPr="00C269E8">
        <w:rPr>
          <w:szCs w:val="22"/>
        </w:rPr>
        <w:t xml:space="preserve"> </w:t>
      </w:r>
    </w:p>
    <w:p w14:paraId="39837423" w14:textId="7ED8C9B7" w:rsidR="00CC2F89" w:rsidRDefault="00CC2F89" w:rsidP="0029095C">
      <w:pPr>
        <w:spacing w:before="100" w:beforeAutospacing="1"/>
      </w:pPr>
      <w:r w:rsidRPr="00B27893">
        <w:t>Vision Australia argue “it is imperative that point to point transport providers whose services qualify for the TTSS be required to demonstrate that they can provide a level of service safety and security that meets the needs of TTSS users.”</w:t>
      </w:r>
      <w:r w:rsidRPr="00B27893">
        <w:rPr>
          <w:color w:val="000000"/>
          <w:spacing w:val="4"/>
          <w:vertAlign w:val="superscript"/>
        </w:rPr>
        <w:footnoteReference w:id="5"/>
      </w:r>
      <w:r w:rsidR="00560E3B">
        <w:t xml:space="preserve"> People with D</w:t>
      </w:r>
      <w:r w:rsidRPr="00B27893">
        <w:t xml:space="preserve">isability </w:t>
      </w:r>
      <w:r w:rsidR="00560E3B">
        <w:t xml:space="preserve">Australia </w:t>
      </w:r>
      <w:r w:rsidRPr="00B27893">
        <w:t>suggest that “point to point and ride share transport operators should be required to address the range of access barriers to their services before being able to access any government funded subsidies.”</w:t>
      </w:r>
      <w:r w:rsidRPr="00B27893">
        <w:rPr>
          <w:color w:val="000000"/>
          <w:spacing w:val="4"/>
          <w:vertAlign w:val="superscript"/>
        </w:rPr>
        <w:footnoteReference w:id="6"/>
      </w:r>
      <w:r w:rsidRPr="00B27893">
        <w:t xml:space="preserve"> They specifically refer to mandatory driver training in communicating with and assisting people with disabilities.</w:t>
      </w:r>
    </w:p>
    <w:p w14:paraId="030B3763" w14:textId="77777777" w:rsidR="00EF030E" w:rsidRPr="00840C10" w:rsidRDefault="00EF030E" w:rsidP="0029095C">
      <w:pPr>
        <w:spacing w:before="100" w:beforeAutospacing="1"/>
        <w:rPr>
          <w:b/>
          <w:color w:val="1F497D" w:themeColor="text2"/>
        </w:rPr>
      </w:pPr>
      <w:r w:rsidRPr="00840C10">
        <w:rPr>
          <w:b/>
          <w:color w:val="1F497D" w:themeColor="text2"/>
        </w:rPr>
        <w:t>Comment:</w:t>
      </w:r>
    </w:p>
    <w:p w14:paraId="60588E2E" w14:textId="65E69A79" w:rsidR="001B3DA8" w:rsidRDefault="0079049D" w:rsidP="0029095C">
      <w:pPr>
        <w:spacing w:before="100" w:beforeAutospacing="1"/>
        <w:rPr>
          <w:szCs w:val="22"/>
        </w:rPr>
      </w:pPr>
      <w:r>
        <w:t>T</w:t>
      </w:r>
      <w:r w:rsidR="002A3BCF">
        <w:t>here are regulated</w:t>
      </w:r>
      <w:r w:rsidR="001B3DA8">
        <w:t xml:space="preserve"> safety requirements for wheelchair accessible </w:t>
      </w:r>
      <w:r w:rsidR="00FD648B">
        <w:t>vehicles</w:t>
      </w:r>
      <w:r w:rsidR="002A3BCF">
        <w:t>.</w:t>
      </w:r>
      <w:r w:rsidR="001B3DA8">
        <w:t xml:space="preserve"> </w:t>
      </w:r>
      <w:r w:rsidR="002A3BCF">
        <w:t>C</w:t>
      </w:r>
      <w:r w:rsidR="00893D18">
        <w:rPr>
          <w:szCs w:val="22"/>
        </w:rPr>
        <w:t>lause 10 of the Point to Point R</w:t>
      </w:r>
      <w:r w:rsidR="001B3DA8">
        <w:rPr>
          <w:szCs w:val="22"/>
        </w:rPr>
        <w:t>egulation requires</w:t>
      </w:r>
      <w:r w:rsidR="002A3BCF">
        <w:rPr>
          <w:szCs w:val="22"/>
        </w:rPr>
        <w:t xml:space="preserve"> that</w:t>
      </w:r>
      <w:r w:rsidR="001B3DA8">
        <w:rPr>
          <w:szCs w:val="22"/>
        </w:rPr>
        <w:t xml:space="preserve"> all wheelchair acces</w:t>
      </w:r>
      <w:r w:rsidR="002A3BCF">
        <w:rPr>
          <w:szCs w:val="22"/>
        </w:rPr>
        <w:t>sible point to point vehicles</w:t>
      </w:r>
      <w:r w:rsidR="001B3DA8">
        <w:rPr>
          <w:szCs w:val="22"/>
        </w:rPr>
        <w:t xml:space="preserve"> meet minimum space requirements, carry wheelchair restraints and </w:t>
      </w:r>
      <w:r w:rsidR="001B3DA8">
        <w:t xml:space="preserve">comply with the Disability Standards for Accessible Public Transport </w:t>
      </w:r>
      <w:r w:rsidR="00531FD7">
        <w:t xml:space="preserve">2002 </w:t>
      </w:r>
      <w:r w:rsidR="001B3DA8">
        <w:t>(DSAPT).</w:t>
      </w:r>
      <w:r w:rsidR="001B3DA8">
        <w:rPr>
          <w:szCs w:val="22"/>
        </w:rPr>
        <w:t xml:space="preserve"> </w:t>
      </w:r>
      <w:r w:rsidR="00A34D02">
        <w:rPr>
          <w:szCs w:val="22"/>
        </w:rPr>
        <w:t xml:space="preserve">This safety standard </w:t>
      </w:r>
      <w:r w:rsidR="00F2006E">
        <w:rPr>
          <w:szCs w:val="22"/>
        </w:rPr>
        <w:t>applies to</w:t>
      </w:r>
      <w:r w:rsidR="00A34D02">
        <w:rPr>
          <w:szCs w:val="22"/>
        </w:rPr>
        <w:t xml:space="preserve"> the driver, the licensee and the vehicle owner. </w:t>
      </w:r>
      <w:r w:rsidR="001B3DA8">
        <w:rPr>
          <w:szCs w:val="22"/>
        </w:rPr>
        <w:t xml:space="preserve">Clause 26 </w:t>
      </w:r>
      <w:r w:rsidR="001B3DA8" w:rsidRPr="00C269E8">
        <w:rPr>
          <w:szCs w:val="22"/>
        </w:rPr>
        <w:t xml:space="preserve">requires that all drivers of wheelchair accessible vehicles are </w:t>
      </w:r>
      <w:r w:rsidR="001B3DA8">
        <w:rPr>
          <w:szCs w:val="22"/>
        </w:rPr>
        <w:t xml:space="preserve">able to </w:t>
      </w:r>
      <w:r w:rsidR="001B3DA8" w:rsidRPr="00C269E8">
        <w:rPr>
          <w:szCs w:val="22"/>
        </w:rPr>
        <w:t xml:space="preserve">demonstrate a level of competence in the safe loading, restraint and unloading of a person in a wheelchair to a standard equivalent to that required to complete </w:t>
      </w:r>
      <w:r w:rsidR="001B3DA8">
        <w:rPr>
          <w:szCs w:val="22"/>
        </w:rPr>
        <w:t>nationally recognised competency units.</w:t>
      </w:r>
      <w:r w:rsidR="001B3DA8">
        <w:rPr>
          <w:rStyle w:val="FootnoteReference"/>
          <w:szCs w:val="22"/>
        </w:rPr>
        <w:footnoteReference w:id="7"/>
      </w:r>
      <w:r w:rsidR="00FD648B">
        <w:rPr>
          <w:szCs w:val="22"/>
        </w:rPr>
        <w:t xml:space="preserve"> </w:t>
      </w:r>
      <w:r w:rsidR="00F2006E">
        <w:rPr>
          <w:szCs w:val="22"/>
        </w:rPr>
        <w:t xml:space="preserve">This obligations falls not only on the driver, but on the taxi service or booking service that the driver is affiliated with. </w:t>
      </w:r>
      <w:r w:rsidR="00FD648B">
        <w:rPr>
          <w:szCs w:val="22"/>
        </w:rPr>
        <w:t xml:space="preserve">Further, all wheelchair accessible vehicles, whether taxis or hire vehicles are required to give preference to wheelchair jobs over other jobs under </w:t>
      </w:r>
      <w:r w:rsidR="00020B19">
        <w:rPr>
          <w:szCs w:val="22"/>
        </w:rPr>
        <w:t>c</w:t>
      </w:r>
      <w:r w:rsidR="00FD648B">
        <w:rPr>
          <w:szCs w:val="22"/>
        </w:rPr>
        <w:t xml:space="preserve">lause 65. </w:t>
      </w:r>
    </w:p>
    <w:p w14:paraId="724BDB92" w14:textId="15937D8D" w:rsidR="00BE38EE" w:rsidRDefault="001E3DBF" w:rsidP="0029095C">
      <w:pPr>
        <w:spacing w:before="100" w:beforeAutospacing="1"/>
        <w:rPr>
          <w:szCs w:val="22"/>
        </w:rPr>
      </w:pPr>
      <w:r>
        <w:rPr>
          <w:szCs w:val="22"/>
        </w:rPr>
        <w:t xml:space="preserve">The requirement for vehicles to be fitted with security cameras applies only to </w:t>
      </w:r>
      <w:r w:rsidR="00020B19">
        <w:rPr>
          <w:szCs w:val="22"/>
        </w:rPr>
        <w:t>“</w:t>
      </w:r>
      <w:r>
        <w:rPr>
          <w:szCs w:val="22"/>
        </w:rPr>
        <w:t xml:space="preserve">a taxi that </w:t>
      </w:r>
      <w:r w:rsidRPr="001E3DBF">
        <w:rPr>
          <w:szCs w:val="22"/>
        </w:rPr>
        <w:t>plies or stands for hire</w:t>
      </w:r>
      <w:r>
        <w:rPr>
          <w:szCs w:val="22"/>
        </w:rPr>
        <w:t>” (i.e. accepts r</w:t>
      </w:r>
      <w:r w:rsidR="00C37DAB">
        <w:rPr>
          <w:szCs w:val="22"/>
        </w:rPr>
        <w:t>ank or hail jobs)</w:t>
      </w:r>
      <w:r w:rsidR="00020B19">
        <w:rPr>
          <w:szCs w:val="22"/>
        </w:rPr>
        <w:t xml:space="preserve"> under clause18</w:t>
      </w:r>
      <w:r w:rsidR="00C37DAB">
        <w:rPr>
          <w:szCs w:val="22"/>
        </w:rPr>
        <w:t>.</w:t>
      </w:r>
      <w:r w:rsidR="00D77BB0">
        <w:rPr>
          <w:szCs w:val="22"/>
        </w:rPr>
        <w:t xml:space="preserve"> It is possible that security cameras are viewed by certain people with disability as an essential security measure, for example where a passenger is unable to communicate and travelling unaccompanied.</w:t>
      </w:r>
      <w:r w:rsidR="00020B19">
        <w:rPr>
          <w:szCs w:val="22"/>
        </w:rPr>
        <w:t xml:space="preserve"> </w:t>
      </w:r>
      <w:r w:rsidR="00D77BB0">
        <w:rPr>
          <w:szCs w:val="22"/>
        </w:rPr>
        <w:t xml:space="preserve">If the scheme is extended to non-taxi operators, consideration may be given to whether additional security measures may need to be applied to ensure comparable safeguards, including whether a GPS trace of the journey should be required. </w:t>
      </w:r>
    </w:p>
    <w:p w14:paraId="405363EA" w14:textId="4E38CDBD" w:rsidR="001B3DA8" w:rsidRDefault="00A548E6" w:rsidP="0029095C">
      <w:pPr>
        <w:spacing w:before="100" w:beforeAutospacing="1"/>
      </w:pPr>
      <w:r>
        <w:t xml:space="preserve">All taxis, both conventional and wheelchair accessible, have obligations under DSAPT. </w:t>
      </w:r>
      <w:r w:rsidR="001B14DF">
        <w:t>DSAPT requires that response times for wheelchair accessible taxis are</w:t>
      </w:r>
      <w:r>
        <w:t xml:space="preserve"> the same as for standard taxis and</w:t>
      </w:r>
      <w:r w:rsidR="001B14DF">
        <w:t xml:space="preserve"> that </w:t>
      </w:r>
      <w:r w:rsidRPr="00A548E6">
        <w:t xml:space="preserve">raised taxi identifiers </w:t>
      </w:r>
      <w:r>
        <w:t xml:space="preserve">are placed </w:t>
      </w:r>
      <w:r w:rsidRPr="00A548E6">
        <w:t>on the exterior of taxis' passenger doors</w:t>
      </w:r>
      <w:r>
        <w:t xml:space="preserve">. </w:t>
      </w:r>
      <w:r w:rsidR="00AC670E">
        <w:t xml:space="preserve">The Commonwealth is currently conducting a review of </w:t>
      </w:r>
      <w:r w:rsidR="00AC670E">
        <w:lastRenderedPageBreak/>
        <w:t>DSAPT</w:t>
      </w:r>
      <w:r w:rsidR="002A3BCF">
        <w:t xml:space="preserve"> and</w:t>
      </w:r>
      <w:r w:rsidR="00AC670E">
        <w:t xml:space="preserve"> </w:t>
      </w:r>
      <w:r w:rsidR="002A3BCF">
        <w:t>o</w:t>
      </w:r>
      <w:r w:rsidR="00AC670E">
        <w:t xml:space="preserve">ne of the issues </w:t>
      </w:r>
      <w:r w:rsidR="002A3BCF">
        <w:t>being considered</w:t>
      </w:r>
      <w:r w:rsidR="00AC670E">
        <w:t xml:space="preserve"> is the </w:t>
      </w:r>
      <w:r w:rsidR="00EB23AE">
        <w:t xml:space="preserve">entry into the market of non-taxi providers of point to point transport. </w:t>
      </w:r>
      <w:r w:rsidR="00236100">
        <w:t xml:space="preserve">The NSW </w:t>
      </w:r>
      <w:r w:rsidR="00824048">
        <w:t xml:space="preserve">Government </w:t>
      </w:r>
      <w:r w:rsidR="00236100">
        <w:t>supports consistent accessibility standards</w:t>
      </w:r>
      <w:r w:rsidR="00AC670E">
        <w:t xml:space="preserve"> </w:t>
      </w:r>
      <w:r w:rsidR="00236100">
        <w:t xml:space="preserve">for all transport providers in the point to point </w:t>
      </w:r>
      <w:r w:rsidR="00C826F6">
        <w:t xml:space="preserve">transport </w:t>
      </w:r>
      <w:r w:rsidR="00236100">
        <w:t>industry.</w:t>
      </w:r>
    </w:p>
    <w:p w14:paraId="5A2CD362" w14:textId="77777777" w:rsidR="00EE3CBD" w:rsidRPr="00EE3CBD" w:rsidRDefault="00EE3CBD" w:rsidP="00EE3CBD">
      <w:pPr>
        <w:rPr>
          <w:b/>
          <w:color w:val="1F497D" w:themeColor="text2"/>
        </w:rPr>
      </w:pPr>
      <w:r w:rsidRPr="00EE3CBD">
        <w:rPr>
          <w:b/>
          <w:color w:val="1F497D" w:themeColor="text2"/>
        </w:rPr>
        <w:t>Finding:</w:t>
      </w:r>
    </w:p>
    <w:p w14:paraId="04B64C78" w14:textId="57B63832" w:rsidR="00EE3CBD" w:rsidRDefault="00935D8F" w:rsidP="0029095C">
      <w:pPr>
        <w:spacing w:before="100" w:beforeAutospacing="1"/>
      </w:pPr>
      <w:r>
        <w:t xml:space="preserve">There is broad </w:t>
      </w:r>
      <w:r w:rsidR="001A2B70">
        <w:t xml:space="preserve">support for a provider neutral subsidy scheme. The </w:t>
      </w:r>
      <w:r w:rsidR="001A2B70" w:rsidRPr="00C60D3E">
        <w:rPr>
          <w:i/>
        </w:rPr>
        <w:t>Point to Point Transport Act</w:t>
      </w:r>
      <w:r w:rsidR="001A2B70">
        <w:t xml:space="preserve"> and Regulation together with DSAPT provide the safety and accessibility standards that all point to point transport providers </w:t>
      </w:r>
      <w:r w:rsidR="00A20328">
        <w:t>are</w:t>
      </w:r>
      <w:r w:rsidR="001A2B70">
        <w:t xml:space="preserve"> required to meet.</w:t>
      </w:r>
    </w:p>
    <w:p w14:paraId="60A0405A" w14:textId="77777777" w:rsidR="00314228" w:rsidRDefault="00EF030E" w:rsidP="00840C10">
      <w:pPr>
        <w:pStyle w:val="Heading3"/>
      </w:pPr>
      <w:bookmarkStart w:id="14" w:name="_Toc21956259"/>
      <w:r>
        <w:t>Feedback on f</w:t>
      </w:r>
      <w:r w:rsidR="00314228">
        <w:t xml:space="preserve">are </w:t>
      </w:r>
      <w:r>
        <w:t>r</w:t>
      </w:r>
      <w:r w:rsidR="00314228">
        <w:t xml:space="preserve">egulation </w:t>
      </w:r>
      <w:r w:rsidR="00CB3973">
        <w:t>in a provider neutral scheme</w:t>
      </w:r>
      <w:bookmarkEnd w:id="14"/>
    </w:p>
    <w:p w14:paraId="7ED1B5B3" w14:textId="77777777" w:rsidR="00384E85" w:rsidRDefault="00314228" w:rsidP="00384E85">
      <w:r>
        <w:t>Currently, f</w:t>
      </w:r>
      <w:r w:rsidRPr="00B27893">
        <w:t xml:space="preserve">ares for booked point to point </w:t>
      </w:r>
      <w:r>
        <w:t xml:space="preserve">transport </w:t>
      </w:r>
      <w:r w:rsidRPr="00B27893">
        <w:t xml:space="preserve">services, including booked taxi services, are de-regulated. </w:t>
      </w:r>
      <w:r w:rsidR="00935C6C" w:rsidRPr="00B27893">
        <w:t xml:space="preserve">However booked taxi services for which a TTSS subsidy applies (both M50 and M40) must use a fare calculation device and the maximum regulated fare applies. </w:t>
      </w:r>
      <w:r w:rsidR="00384E85" w:rsidRPr="00B27893">
        <w:t>This serves two purposes. Firstly it provides protection for TTSS customers</w:t>
      </w:r>
      <w:r w:rsidR="00384E85">
        <w:t>,</w:t>
      </w:r>
      <w:r w:rsidR="00384E85" w:rsidRPr="00B27893">
        <w:t xml:space="preserve"> many of whom may not be </w:t>
      </w:r>
      <w:r w:rsidR="00384E85">
        <w:t>able</w:t>
      </w:r>
      <w:r w:rsidR="00384E85" w:rsidRPr="00B27893">
        <w:t xml:space="preserve"> to shop around or to negotiate fo</w:t>
      </w:r>
      <w:r w:rsidR="00384E85">
        <w:t xml:space="preserve">r a competitively priced fare. </w:t>
      </w:r>
      <w:r w:rsidR="00384E85" w:rsidRPr="00B27893">
        <w:t>Secondly it helps to control the</w:t>
      </w:r>
      <w:r w:rsidR="00384E85">
        <w:t xml:space="preserve"> overall</w:t>
      </w:r>
      <w:r w:rsidR="00384E85" w:rsidRPr="00B27893">
        <w:t xml:space="preserve"> cost to the taxpayer of the TTSS.  </w:t>
      </w:r>
    </w:p>
    <w:p w14:paraId="4E34A1A4" w14:textId="48CC9360" w:rsidR="00384E85" w:rsidRDefault="00384E85" w:rsidP="00384E85">
      <w:r>
        <w:t>In order to maintain competitive neutrality in a provider neutral scheme, it will be necessary to ensure that all service providers are subject to the same requirements. This means there are two possible approaches</w:t>
      </w:r>
      <w:r w:rsidR="00893D18">
        <w:t xml:space="preserve"> to</w:t>
      </w:r>
      <w:r>
        <w:t xml:space="preserve"> fare regulation. One option is to deregulate booked fares for TTSS passengers. The other is to require all service providers to comply with the regulated maximum fare for all TTSS trips.</w:t>
      </w:r>
    </w:p>
    <w:p w14:paraId="5429F61B" w14:textId="63F6E97C" w:rsidR="00E80BA6" w:rsidRDefault="00384E85" w:rsidP="00E80BA6">
      <w:r>
        <w:t>A few submissions addressed the issue of the potential application of the TTSS to de</w:t>
      </w:r>
      <w:r>
        <w:noBreakHyphen/>
        <w:t>regulated fares. One suggested that pricing guides should be introduced to enable customers to make a price comparison</w:t>
      </w:r>
      <w:r w:rsidR="008D2DCD">
        <w:t>.</w:t>
      </w:r>
      <w:r w:rsidR="00CB3973" w:rsidRPr="00CB3973">
        <w:rPr>
          <w:rStyle w:val="FootnoteReference"/>
        </w:rPr>
        <w:t xml:space="preserve"> </w:t>
      </w:r>
      <w:r w:rsidR="00CB3973">
        <w:rPr>
          <w:rStyle w:val="FootnoteReference"/>
        </w:rPr>
        <w:footnoteReference w:id="8"/>
      </w:r>
      <w:r w:rsidR="008D2DCD">
        <w:t xml:space="preserve"> However, there are existing r</w:t>
      </w:r>
      <w:r>
        <w:t xml:space="preserve">equirements for customers to be provided with fare information on de-regulated fares. </w:t>
      </w:r>
      <w:r w:rsidR="00A6173E">
        <w:t>Booking S</w:t>
      </w:r>
      <w:r w:rsidR="00E80BA6">
        <w:t xml:space="preserve">ervice </w:t>
      </w:r>
      <w:r w:rsidR="00A6173E">
        <w:t>P</w:t>
      </w:r>
      <w:r w:rsidR="00E80BA6">
        <w:t>roviders</w:t>
      </w:r>
      <w:r w:rsidR="00A6173E">
        <w:t xml:space="preserve"> (BSPs)</w:t>
      </w:r>
      <w:r w:rsidR="00E80BA6">
        <w:t xml:space="preserve"> now need to provide a fare estimate to an intending customer before a trip commences. This applies to all booked trips, whether they are in a taxi, traditional hire car, rideshare vehicle or other similar vehicle. </w:t>
      </w:r>
      <w:r w:rsidR="000D5852">
        <w:t>A</w:t>
      </w:r>
      <w:r w:rsidR="00E80BA6">
        <w:t xml:space="preserve"> service cannot start unless the passenger has accepted the fare estimate. </w:t>
      </w:r>
      <w:r w:rsidR="000D5852">
        <w:t>Another submission suggested that fare calculation was the best protection for vulnerable customers and that people with disability should be protec</w:t>
      </w:r>
      <w:r w:rsidR="00177EBA">
        <w:t>ted from dynamic pricing models.</w:t>
      </w:r>
      <w:r w:rsidR="000D5852">
        <w:t xml:space="preserve"> </w:t>
      </w:r>
      <w:r w:rsidR="00177EBA">
        <w:t>One submission sugg</w:t>
      </w:r>
      <w:r w:rsidR="000D5852">
        <w:t xml:space="preserve">ested that customers should have a choice between regulated and unregulated fares. </w:t>
      </w:r>
    </w:p>
    <w:p w14:paraId="68D3485E" w14:textId="77777777" w:rsidR="00EF030E" w:rsidRPr="00840C10" w:rsidRDefault="00EF030E" w:rsidP="00E80BA6">
      <w:pPr>
        <w:rPr>
          <w:b/>
          <w:color w:val="1F497D" w:themeColor="text2"/>
        </w:rPr>
      </w:pPr>
      <w:r w:rsidRPr="00840C10">
        <w:rPr>
          <w:b/>
          <w:color w:val="1F497D" w:themeColor="text2"/>
        </w:rPr>
        <w:t>Comment:</w:t>
      </w:r>
    </w:p>
    <w:p w14:paraId="0C8C20D5" w14:textId="7AD15CA1" w:rsidR="00EA4605" w:rsidRDefault="00606B4D">
      <w:r>
        <w:t xml:space="preserve">Given that TTSS participants are more likely to be on limited incomes and may be more dependent on point to point </w:t>
      </w:r>
      <w:r w:rsidR="00C826F6">
        <w:t>transport</w:t>
      </w:r>
      <w:r>
        <w:t xml:space="preserve"> than the general population, </w:t>
      </w:r>
      <w:r w:rsidR="00C5496E">
        <w:t>particularly in thin markets, it is considered preferable to apply a maximum fare to all TTSS trips regardless of the service provider.</w:t>
      </w:r>
      <w:r>
        <w:t xml:space="preserve"> Customers will still be able to derive the benefits of competition as service providers can always charge less than the regulated fare.</w:t>
      </w:r>
      <w:r w:rsidR="00C5496E">
        <w:t xml:space="preserve"> </w:t>
      </w:r>
    </w:p>
    <w:p w14:paraId="76D44752" w14:textId="77777777" w:rsidR="00EE3CBD" w:rsidRPr="00EE3CBD" w:rsidRDefault="00EE3CBD" w:rsidP="00EE3CBD">
      <w:pPr>
        <w:rPr>
          <w:b/>
          <w:color w:val="1F497D" w:themeColor="text2"/>
        </w:rPr>
      </w:pPr>
      <w:r w:rsidRPr="00EE3CBD">
        <w:rPr>
          <w:b/>
          <w:color w:val="1F497D" w:themeColor="text2"/>
        </w:rPr>
        <w:t>Finding:</w:t>
      </w:r>
    </w:p>
    <w:p w14:paraId="48C0FA9E" w14:textId="77777777" w:rsidR="00EE3CBD" w:rsidRPr="00314228" w:rsidRDefault="00534CB0">
      <w:r>
        <w:t xml:space="preserve">It is recommended the Government impose a maximum fare (which may be the existing maximum fare or other fare specific to TTSS) </w:t>
      </w:r>
      <w:r w:rsidR="001A2B70">
        <w:t xml:space="preserve">for all journeys to which the subsidy applies </w:t>
      </w:r>
      <w:r>
        <w:t>and that service providers be required to verify that the fares they charge do not exceed that maximum.</w:t>
      </w:r>
    </w:p>
    <w:p w14:paraId="2E5B538B" w14:textId="77777777" w:rsidR="00596473" w:rsidRDefault="00295EA8" w:rsidP="00840C10">
      <w:pPr>
        <w:pStyle w:val="Heading3"/>
      </w:pPr>
      <w:bookmarkStart w:id="15" w:name="_Toc21956260"/>
      <w:r>
        <w:lastRenderedPageBreak/>
        <w:t xml:space="preserve">Feedback on </w:t>
      </w:r>
      <w:r w:rsidR="00596473">
        <w:t>TTSS and Block Funded Services</w:t>
      </w:r>
      <w:bookmarkEnd w:id="15"/>
    </w:p>
    <w:p w14:paraId="00A0D4AA" w14:textId="77777777" w:rsidR="00737075" w:rsidRDefault="00737075" w:rsidP="0029095C">
      <w:pPr>
        <w:spacing w:before="100" w:beforeAutospacing="1"/>
      </w:pPr>
      <w:r>
        <w:t>The Point to Point Transport regulatory framework governs a wide range of services, some of which are funded in various ways by TfNSW, or through other State or Commonwealth government agencies. These include block-funded services such as community transport, buses and on-demand services, which receive some degree of ongoing funding from government to provide the service and may also derive additional income from fares paid by customers (depending on individual contractual arrangements). There are also programs which provide funding directly to participants to use on the service of their choice, such as the NDIS, or programs which fund trips for particular purposes, such as the Assisted School Travel Program.</w:t>
      </w:r>
    </w:p>
    <w:p w14:paraId="350B3714" w14:textId="77777777" w:rsidR="00737075" w:rsidRDefault="00737075" w:rsidP="0029095C">
      <w:pPr>
        <w:spacing w:before="100" w:beforeAutospacing="1"/>
      </w:pPr>
      <w:r>
        <w:t>It has been suggested that providing further subsidies through the scheme to services that are block funded, such as community transport, would give them a competitive advantage over private service providers in areas where both types of service are operating. Both the Community Transport Organisation</w:t>
      </w:r>
      <w:r w:rsidR="00E16894">
        <w:t xml:space="preserve"> (CTO)</w:t>
      </w:r>
      <w:r>
        <w:t xml:space="preserve"> and the NSW Council of Social Services (NCOSS) disputed this suggestion. It was noted that, in areas where taxi services are not currently operating, block funded services may be the only services that are available </w:t>
      </w:r>
      <w:r w:rsidR="00C84068">
        <w:t xml:space="preserve">to </w:t>
      </w:r>
      <w:r>
        <w:t xml:space="preserve">people with disability. Access to the TTSS could make it viable for those providers </w:t>
      </w:r>
      <w:r w:rsidR="00812C64">
        <w:t xml:space="preserve">to operate additional services. </w:t>
      </w:r>
      <w:r>
        <w:t>The CTO notes that the scheme could enable community transport service providers “to provide other services and build commercial and financial resilience.” NCOSS notes that block funding is provided for a range of specific purposes including overcoming the disadvantage caused by remoteness or by providing services to vulnerable cohorts.</w:t>
      </w:r>
    </w:p>
    <w:p w14:paraId="0A4CD263" w14:textId="77777777" w:rsidR="00295EA8" w:rsidRPr="00840C10" w:rsidRDefault="00295EA8" w:rsidP="00840C10">
      <w:pPr>
        <w:rPr>
          <w:b/>
          <w:color w:val="1F497D" w:themeColor="text2"/>
        </w:rPr>
      </w:pPr>
      <w:r w:rsidRPr="00E949D0">
        <w:rPr>
          <w:b/>
          <w:color w:val="1F497D" w:themeColor="text2"/>
        </w:rPr>
        <w:t>Comment:</w:t>
      </w:r>
    </w:p>
    <w:p w14:paraId="402FCFF5" w14:textId="62F835E3" w:rsidR="00737075" w:rsidRDefault="00C5496E">
      <w:pPr>
        <w:spacing w:before="100" w:beforeAutospacing="1"/>
      </w:pPr>
      <w:r>
        <w:t>I</w:t>
      </w:r>
      <w:r w:rsidR="00737075">
        <w:t xml:space="preserve">t </w:t>
      </w:r>
      <w:r>
        <w:t xml:space="preserve">is proposed that </w:t>
      </w:r>
      <w:r w:rsidR="00CB3973">
        <w:t xml:space="preserve">all authorised </w:t>
      </w:r>
      <w:r w:rsidR="00A6173E">
        <w:t>BSPs</w:t>
      </w:r>
      <w:r>
        <w:t xml:space="preserve"> are able to </w:t>
      </w:r>
      <w:r w:rsidR="00CB3973">
        <w:t>complete subsidised trips in a future provider neutral scheme</w:t>
      </w:r>
      <w:r>
        <w:t xml:space="preserve">. In order to maintain competitive neutrality, trips provided under contract will not be able to be subsidised through the TTSS. For example a trip completed under a community transport contract cannot also be subsidised through the TTSS. </w:t>
      </w:r>
      <w:r w:rsidR="00F624C5">
        <w:t>However, community transport operators</w:t>
      </w:r>
      <w:r w:rsidR="00CB3973">
        <w:t xml:space="preserve">, provided that they are authorised </w:t>
      </w:r>
      <w:r w:rsidR="00A6173E">
        <w:t>BSP</w:t>
      </w:r>
      <w:r w:rsidR="00CB3973">
        <w:t xml:space="preserve"> and comply with the Point to Point act and Regulations,</w:t>
      </w:r>
      <w:r w:rsidR="00F624C5">
        <w:t xml:space="preserve"> </w:t>
      </w:r>
      <w:r w:rsidR="00CB3973">
        <w:t>will be able to complete</w:t>
      </w:r>
      <w:r w:rsidR="00F624C5">
        <w:t xml:space="preserve"> trips, outside of their contract obligations which attract the TTSS subsidy. Service providers will still be required to comply with all of their contract obligations, including obligations under community transport contracts which require </w:t>
      </w:r>
      <w:r w:rsidR="00CB3973">
        <w:t xml:space="preserve">that </w:t>
      </w:r>
      <w:r w:rsidR="00F624C5">
        <w:t>all fe</w:t>
      </w:r>
      <w:r w:rsidR="00CB3973">
        <w:t>es from completing non</w:t>
      </w:r>
      <w:r w:rsidR="00CB3973">
        <w:noBreakHyphen/>
      </w:r>
      <w:r w:rsidR="00F624C5">
        <w:t>community transport trips in government funded</w:t>
      </w:r>
      <w:r w:rsidR="00CB3973">
        <w:t xml:space="preserve"> community transport vehicles are</w:t>
      </w:r>
      <w:r w:rsidR="00F624C5">
        <w:t xml:space="preserve"> reinvested back into community transport trips. This would include all fees derived from TTSS trips. </w:t>
      </w:r>
      <w:r>
        <w:t xml:space="preserve"> </w:t>
      </w:r>
    </w:p>
    <w:p w14:paraId="7900C1A4" w14:textId="60CEE325" w:rsidR="00FD7ACB" w:rsidRPr="00EE3CBD" w:rsidRDefault="00EE3CBD" w:rsidP="00EE3CBD">
      <w:pPr>
        <w:rPr>
          <w:b/>
          <w:color w:val="1F497D" w:themeColor="text2"/>
        </w:rPr>
      </w:pPr>
      <w:r w:rsidRPr="00EE3CBD">
        <w:rPr>
          <w:b/>
          <w:color w:val="1F497D" w:themeColor="text2"/>
        </w:rPr>
        <w:t>Finding:</w:t>
      </w:r>
      <w:r w:rsidR="00FD7ACB">
        <w:t xml:space="preserve"> </w:t>
      </w:r>
    </w:p>
    <w:p w14:paraId="18B8116D" w14:textId="02A3E0E2" w:rsidR="00FD7ACB" w:rsidRPr="00FD7ACB" w:rsidRDefault="00A6173E" w:rsidP="00FD7ACB">
      <w:r>
        <w:t>All authorised BSP</w:t>
      </w:r>
      <w:r w:rsidR="00CB68B7">
        <w:t xml:space="preserve">s will be able to provide subsidised trips in a future provider neutral scheme, as long as subsidies are not applied to trips provided in fulfilment of contract obligations. </w:t>
      </w:r>
    </w:p>
    <w:p w14:paraId="6881413C" w14:textId="03DBE161" w:rsidR="006F4D9A" w:rsidRDefault="00882762">
      <w:pPr>
        <w:pStyle w:val="Heading3"/>
      </w:pPr>
      <w:bookmarkStart w:id="16" w:name="_Toc21956261"/>
      <w:r>
        <w:t>Scheme Administration</w:t>
      </w:r>
      <w:bookmarkEnd w:id="16"/>
    </w:p>
    <w:p w14:paraId="41B0954E" w14:textId="29ABB46F" w:rsidR="00EF030E" w:rsidRPr="00A161D6" w:rsidRDefault="00882762" w:rsidP="00EF030E">
      <w:r>
        <w:t>The review c</w:t>
      </w:r>
      <w:r w:rsidRPr="00882762">
        <w:t>onsider</w:t>
      </w:r>
      <w:r>
        <w:t>ed</w:t>
      </w:r>
      <w:r w:rsidRPr="00882762">
        <w:t xml:space="preserve"> opportunities to amend administrative arrangements for the Taxi Transport Subsidy Scheme to improve the customer experience and the integrity of the program.</w:t>
      </w:r>
      <w:r w:rsidR="00EF030E" w:rsidRPr="00A161D6">
        <w:t xml:space="preserve"> </w:t>
      </w:r>
      <w:r w:rsidR="00EF030E">
        <w:t xml:space="preserve">Disability organisations have noted that the current voucher system is inaccessible to many people with disability, who cannot independently fill out the </w:t>
      </w:r>
      <w:r w:rsidR="00EF030E">
        <w:lastRenderedPageBreak/>
        <w:t>vouchers.</w:t>
      </w:r>
      <w:r w:rsidR="00EF030E">
        <w:rPr>
          <w:rStyle w:val="FootnoteReference"/>
        </w:rPr>
        <w:footnoteReference w:id="9"/>
      </w:r>
      <w:r w:rsidR="00EF030E">
        <w:t xml:space="preserve"> They agreed that a</w:t>
      </w:r>
      <w:r w:rsidR="00EF030E" w:rsidRPr="00A161D6">
        <w:t xml:space="preserve"> system that necessitates the client’s use of smart phones, the internet or credit cards would not be practical for many users who would not have access to this technology.</w:t>
      </w:r>
      <w:r w:rsidR="00EF030E">
        <w:rPr>
          <w:rStyle w:val="FootnoteReference"/>
        </w:rPr>
        <w:footnoteReference w:id="10"/>
      </w:r>
      <w:r w:rsidR="00EF030E" w:rsidRPr="00A161D6">
        <w:t xml:space="preserve"> In particular the vision impaired sector and the ageing sector have emphasised that, while digital applications would benefit some, they are unlikely to be taken up by the majority of participants and participants must have other choices for booking and payment.</w:t>
      </w:r>
      <w:r w:rsidR="00EF030E" w:rsidRPr="00A161D6">
        <w:rPr>
          <w:vertAlign w:val="superscript"/>
        </w:rPr>
        <w:footnoteReference w:id="11"/>
      </w:r>
      <w:r w:rsidR="00EF030E" w:rsidRPr="00A161D6">
        <w:t xml:space="preserve"> </w:t>
      </w:r>
    </w:p>
    <w:p w14:paraId="2E5CAA81" w14:textId="77777777" w:rsidR="00EF030E" w:rsidRPr="00A161D6" w:rsidRDefault="00EF030E" w:rsidP="00EF030E">
      <w:r>
        <w:t>However, a</w:t>
      </w:r>
      <w:r w:rsidRPr="00A161D6">
        <w:t xml:space="preserve">ll stakeholders are supportive of the move to an electronic payment system within certain parameters. </w:t>
      </w:r>
      <w:r>
        <w:t>For example any new payment system would need</w:t>
      </w:r>
      <w:r w:rsidRPr="00A161D6">
        <w:t xml:space="preserve"> to ensure that existing customer </w:t>
      </w:r>
      <w:r>
        <w:t>needs are met, including</w:t>
      </w:r>
      <w:r w:rsidRPr="00A161D6">
        <w:t xml:space="preserve">: </w:t>
      </w:r>
    </w:p>
    <w:p w14:paraId="3405D02F" w14:textId="244CA3A4" w:rsidR="00EF030E" w:rsidRPr="00A161D6" w:rsidRDefault="00F92FAC" w:rsidP="00672D40">
      <w:pPr>
        <w:pStyle w:val="ListParagraph"/>
        <w:numPr>
          <w:ilvl w:val="0"/>
          <w:numId w:val="49"/>
        </w:numPr>
      </w:pPr>
      <w:r>
        <w:t>The system does not mandate the use of a credit card for the customer contribution to the fare</w:t>
      </w:r>
      <w:r w:rsidR="00EF030E" w:rsidRPr="00A161D6">
        <w:t>; and</w:t>
      </w:r>
    </w:p>
    <w:p w14:paraId="5E107330" w14:textId="77777777" w:rsidR="00EF030E" w:rsidRDefault="00EF030E" w:rsidP="00672D40">
      <w:pPr>
        <w:pStyle w:val="ListParagraph"/>
        <w:numPr>
          <w:ilvl w:val="0"/>
          <w:numId w:val="49"/>
        </w:numPr>
      </w:pPr>
      <w:r w:rsidRPr="00A161D6">
        <w:t xml:space="preserve">Customers can use the subsidy on any rank and hail taxi journey, not just on booked journeys. </w:t>
      </w:r>
    </w:p>
    <w:p w14:paraId="381FE9A8" w14:textId="1FDFCEDB" w:rsidR="00EF030E" w:rsidRDefault="00EF030E" w:rsidP="00EF030E">
      <w:r>
        <w:t>Some stakeholders were also concerned that there was a lack of data available about scheme usage.</w:t>
      </w:r>
      <w:r>
        <w:rPr>
          <w:rStyle w:val="FootnoteReference"/>
        </w:rPr>
        <w:footnoteReference w:id="12"/>
      </w:r>
      <w:r>
        <w:t xml:space="preserve"> An electronic payment system </w:t>
      </w:r>
      <w:r w:rsidR="00FF683C">
        <w:t>should</w:t>
      </w:r>
      <w:r>
        <w:t xml:space="preserve"> enable data to be captured more accurately and efficiently and in real time, thereby providing greater insight into </w:t>
      </w:r>
      <w:r w:rsidR="00EE3CBD">
        <w:t>how the subsidy is being used to meet the needs of participants.</w:t>
      </w:r>
    </w:p>
    <w:p w14:paraId="3B53971E" w14:textId="77777777" w:rsidR="000451F5" w:rsidRDefault="00A161D6" w:rsidP="00EF030E">
      <w:r>
        <w:t xml:space="preserve">Any system developed will be accessible for all users of the TTSS and </w:t>
      </w:r>
      <w:r w:rsidRPr="00A161D6">
        <w:t>flexible enough to be used by a variety of different market participants without imposing undue administrative burden or limitations on innovative business models</w:t>
      </w:r>
      <w:r>
        <w:t>.</w:t>
      </w:r>
    </w:p>
    <w:p w14:paraId="10D91F83" w14:textId="4CDB81FA" w:rsidR="00BD4676" w:rsidRDefault="00BD4676" w:rsidP="0029095C">
      <w:r>
        <w:t xml:space="preserve">TfNSW </w:t>
      </w:r>
      <w:r w:rsidR="00EE3CBD">
        <w:t xml:space="preserve">has </w:t>
      </w:r>
      <w:r w:rsidR="007D28DB">
        <w:t xml:space="preserve">begun revising </w:t>
      </w:r>
      <w:r>
        <w:t xml:space="preserve">the administrative arrangements for the scheme, clarifying the rights and responsibilities of participants and point to point </w:t>
      </w:r>
      <w:r w:rsidR="00C826F6">
        <w:t xml:space="preserve">transport </w:t>
      </w:r>
      <w:r>
        <w:t xml:space="preserve">service providers </w:t>
      </w:r>
      <w:r w:rsidR="007D28DB">
        <w:t>with a view to</w:t>
      </w:r>
      <w:r>
        <w:t xml:space="preserve"> </w:t>
      </w:r>
      <w:r w:rsidR="005107B3">
        <w:t>streamlining</w:t>
      </w:r>
      <w:r>
        <w:t xml:space="preserve"> </w:t>
      </w:r>
      <w:r w:rsidR="00AF3BA3">
        <w:t>administrative processes where possible</w:t>
      </w:r>
      <w:r w:rsidR="005107B3">
        <w:t xml:space="preserve"> in advance of automation</w:t>
      </w:r>
      <w:r w:rsidR="00AF3BA3">
        <w:t>.</w:t>
      </w:r>
    </w:p>
    <w:p w14:paraId="749A8E3F" w14:textId="77777777" w:rsidR="00EE3CBD" w:rsidRDefault="00EE3CBD" w:rsidP="0029095C">
      <w:r>
        <w:rPr>
          <w:b/>
          <w:color w:val="1F497D" w:themeColor="text2"/>
        </w:rPr>
        <w:t>Comment</w:t>
      </w:r>
      <w:r w:rsidRPr="00EE3CBD">
        <w:rPr>
          <w:b/>
          <w:color w:val="1F497D" w:themeColor="text2"/>
        </w:rPr>
        <w:t>:</w:t>
      </w:r>
    </w:p>
    <w:p w14:paraId="685006CA" w14:textId="705DF324" w:rsidR="000451F5" w:rsidRDefault="00882762" w:rsidP="0029095C">
      <w:r>
        <w:t>Replacement of the paper docket system</w:t>
      </w:r>
      <w:r w:rsidR="000451F5">
        <w:t xml:space="preserve"> is the first step towards ensuring provider neutrality can be effectively introduced for all TTSS users. </w:t>
      </w:r>
      <w:r w:rsidR="00C76C65">
        <w:t>C</w:t>
      </w:r>
      <w:r w:rsidR="00D05279">
        <w:t xml:space="preserve">ustomer facing aspects of the system </w:t>
      </w:r>
      <w:r w:rsidR="00C93E49">
        <w:t xml:space="preserve">will </w:t>
      </w:r>
      <w:r w:rsidR="00D05279">
        <w:t xml:space="preserve">be co-designed with </w:t>
      </w:r>
      <w:r w:rsidR="00C76C65">
        <w:t>people with disability and industry to ensure that they are accessible and user friendly.</w:t>
      </w:r>
      <w:r w:rsidR="00F624C5">
        <w:t xml:space="preserve"> </w:t>
      </w:r>
    </w:p>
    <w:p w14:paraId="61214F9E" w14:textId="77777777" w:rsidR="00F624C5" w:rsidRDefault="00F624C5" w:rsidP="00F624C5">
      <w:r>
        <w:t xml:space="preserve">The approach recommended in this report is to stage extension of the TTSS to other service providers for M40 participants only in the first instance. Staging the extension of the scheme in this way provides choice for M40 customers and will assist TfNSW to understand how a service provider neutral TTSS scheme will operate and to test the levels of protections offered to scheme participants. It will allow monitoring of the scheme to determine the impact of a provider neutral approach on the expenditure for the scheme – from both the customer and government’s perspective. </w:t>
      </w:r>
    </w:p>
    <w:p w14:paraId="55F8513D" w14:textId="77777777" w:rsidR="00F624C5" w:rsidRDefault="00F624C5" w:rsidP="00010894">
      <w:r>
        <w:t xml:space="preserve">Continuing to restrict M50 participants’ use of the TTSS to taxis </w:t>
      </w:r>
      <w:r w:rsidR="00F53E8C">
        <w:t xml:space="preserve">in the first instance </w:t>
      </w:r>
      <w:r>
        <w:t xml:space="preserve">is aimed at ensuring the viability and supply of WATs for these customers and to support the extensive investment by the taxi industry in modifying vehicles to date. </w:t>
      </w:r>
      <w:r w:rsidR="00010894">
        <w:t>Once sufficient data is available from</w:t>
      </w:r>
      <w:r>
        <w:t xml:space="preserve"> the implementation of a provider neutral scheme for M40 passengers, the Government will </w:t>
      </w:r>
      <w:r w:rsidR="00010894">
        <w:t>consider expanding the scheme to M50 participants.</w:t>
      </w:r>
    </w:p>
    <w:p w14:paraId="32518021" w14:textId="0B3E154D" w:rsidR="00010894" w:rsidRDefault="00010894" w:rsidP="00010894">
      <w:r>
        <w:lastRenderedPageBreak/>
        <w:t xml:space="preserve">While </w:t>
      </w:r>
      <w:r w:rsidR="003F2F30">
        <w:t>NSW</w:t>
      </w:r>
      <w:r>
        <w:t xml:space="preserve"> </w:t>
      </w:r>
      <w:r w:rsidR="003F2F30">
        <w:t xml:space="preserve">completes the </w:t>
      </w:r>
      <w:r>
        <w:t xml:space="preserve">transition towards a provider neutral scheme, the Government will </w:t>
      </w:r>
      <w:r w:rsidR="004723EB">
        <w:t>examine ways</w:t>
      </w:r>
      <w:r>
        <w:t xml:space="preserve"> to provide more transport options for TTSS participants. </w:t>
      </w:r>
      <w:r w:rsidR="003F2F30">
        <w:t xml:space="preserve">TfNSW </w:t>
      </w:r>
      <w:r>
        <w:t xml:space="preserve">will </w:t>
      </w:r>
      <w:r w:rsidR="004723EB">
        <w:t xml:space="preserve">investigate opportunities to </w:t>
      </w:r>
      <w:r>
        <w:t xml:space="preserve">partner with </w:t>
      </w:r>
      <w:r w:rsidR="00A6173E">
        <w:t>BSP</w:t>
      </w:r>
      <w:r>
        <w:t xml:space="preserve">s in both the taxi and hire car (including rideshare) industries, that offer integrated booking and payment apps. Participating BSP’s </w:t>
      </w:r>
      <w:r w:rsidR="004723EB">
        <w:t>could</w:t>
      </w:r>
      <w:r>
        <w:t xml:space="preserve"> have the opportunity to carry subsidised TTSS passengers, provided that they meet strict controls. </w:t>
      </w:r>
    </w:p>
    <w:p w14:paraId="7BAD4C33" w14:textId="77777777" w:rsidR="00EE3CBD" w:rsidRPr="00EE3CBD" w:rsidRDefault="00EE3CBD" w:rsidP="00EE3CBD">
      <w:pPr>
        <w:rPr>
          <w:b/>
          <w:color w:val="1F497D" w:themeColor="text2"/>
        </w:rPr>
      </w:pPr>
      <w:r w:rsidRPr="00EE3CBD">
        <w:rPr>
          <w:b/>
          <w:color w:val="1F497D" w:themeColor="text2"/>
        </w:rPr>
        <w:t>Finding:</w:t>
      </w:r>
    </w:p>
    <w:p w14:paraId="4251350B" w14:textId="198C8179" w:rsidR="00C44315" w:rsidRDefault="00C3115F" w:rsidP="00C44315">
      <w:r>
        <w:t xml:space="preserve">In the short term, TfNSW will </w:t>
      </w:r>
      <w:r w:rsidR="004723EB">
        <w:t xml:space="preserve">investigate opportunities to </w:t>
      </w:r>
      <w:r>
        <w:t>partner</w:t>
      </w:r>
      <w:r w:rsidR="00C44315">
        <w:t xml:space="preserve"> with BSPs </w:t>
      </w:r>
      <w:r>
        <w:t xml:space="preserve">to offer the subsidy on a limited number of integrated booking and payment apps. This </w:t>
      </w:r>
      <w:r w:rsidR="00C44315">
        <w:t xml:space="preserve">will provide an opportunity to understand and identify issues around the regulated fare; understand how TTSS participants use non-taxi services and assist in developing scheme improvements for when the scheme becomes fully provider neutral. </w:t>
      </w:r>
    </w:p>
    <w:p w14:paraId="406CABDB" w14:textId="3E4FCCF5" w:rsidR="00010894" w:rsidRDefault="00C3115F" w:rsidP="00010894">
      <w:r>
        <w:t>As m</w:t>
      </w:r>
      <w:r w:rsidR="00CB68B7">
        <w:t>ost TTSS participants and many smaller point to point transport providers have limited access to</w:t>
      </w:r>
      <w:r w:rsidR="00C60D3E">
        <w:t>,</w:t>
      </w:r>
      <w:r w:rsidR="00CB68B7">
        <w:t xml:space="preserve"> or do not use digital</w:t>
      </w:r>
      <w:r>
        <w:t xml:space="preserve"> technology, a solution, other than a digital application will </w:t>
      </w:r>
      <w:r w:rsidR="004723EB">
        <w:t xml:space="preserve">need to </w:t>
      </w:r>
      <w:r>
        <w:t>be developed over the longer term.</w:t>
      </w:r>
    </w:p>
    <w:p w14:paraId="50884817" w14:textId="77777777" w:rsidR="00C71EFE" w:rsidRDefault="001B4434" w:rsidP="0029095C">
      <w:pPr>
        <w:pStyle w:val="Heading2"/>
      </w:pPr>
      <w:bookmarkStart w:id="17" w:name="_Toc21956262"/>
      <w:r>
        <w:t xml:space="preserve">Wheelchair Accessible </w:t>
      </w:r>
      <w:r w:rsidR="009326E0">
        <w:t>Transport</w:t>
      </w:r>
      <w:bookmarkEnd w:id="17"/>
    </w:p>
    <w:p w14:paraId="17427565" w14:textId="77777777" w:rsidR="00347D92" w:rsidRDefault="007402DD" w:rsidP="0029095C">
      <w:r>
        <w:t xml:space="preserve">Wheelchair accessible vehicles are more expensive than conventional vehicles to purchase and operate. </w:t>
      </w:r>
      <w:r w:rsidR="00BA24FA">
        <w:t xml:space="preserve">As well as the additional cost of modifying a vehicle for use as a WAT, there are also additional </w:t>
      </w:r>
      <w:r w:rsidR="00BA24FA" w:rsidRPr="00C04267">
        <w:t>fuel, maintenance and cleaning costs</w:t>
      </w:r>
      <w:r w:rsidR="00BA24FA">
        <w:t xml:space="preserve"> compared to operating a conventional vehicle. </w:t>
      </w:r>
      <w:r w:rsidR="00347D92">
        <w:t>A range of incentives operate in NSW to ensure that wheelchair accessible point to point transport is available to those who need it</w:t>
      </w:r>
      <w:r w:rsidR="00D4236A">
        <w:t>, namely:</w:t>
      </w:r>
    </w:p>
    <w:p w14:paraId="6B9E71C4" w14:textId="77777777" w:rsidR="00347D92" w:rsidRDefault="00347D92" w:rsidP="00FD7ACB">
      <w:pPr>
        <w:pStyle w:val="ListParagraph"/>
        <w:numPr>
          <w:ilvl w:val="0"/>
          <w:numId w:val="41"/>
        </w:numPr>
      </w:pPr>
      <w:r>
        <w:t xml:space="preserve">Free </w:t>
      </w:r>
      <w:r w:rsidR="0040558E">
        <w:t>W</w:t>
      </w:r>
      <w:r>
        <w:t xml:space="preserve">heelchair </w:t>
      </w:r>
      <w:r w:rsidR="0040558E">
        <w:t>A</w:t>
      </w:r>
      <w:r>
        <w:t xml:space="preserve">ccessible </w:t>
      </w:r>
      <w:r w:rsidR="0040558E">
        <w:t>T</w:t>
      </w:r>
      <w:r>
        <w:t>axi</w:t>
      </w:r>
      <w:r w:rsidR="0040558E">
        <w:t xml:space="preserve"> (WAT)</w:t>
      </w:r>
      <w:r>
        <w:t xml:space="preserve"> licences.</w:t>
      </w:r>
    </w:p>
    <w:p w14:paraId="387F5062" w14:textId="77777777" w:rsidR="00347D92" w:rsidRDefault="00347D92" w:rsidP="00FD7ACB">
      <w:pPr>
        <w:pStyle w:val="ListParagraph"/>
        <w:numPr>
          <w:ilvl w:val="0"/>
          <w:numId w:val="41"/>
        </w:numPr>
      </w:pPr>
      <w:r>
        <w:t xml:space="preserve">The </w:t>
      </w:r>
      <w:r w:rsidR="0040558E">
        <w:t>WAT</w:t>
      </w:r>
      <w:r>
        <w:t xml:space="preserve"> Interest Free Loan Scheme, which provides interest-free loans of up to $100,000 to purchase and/or modify a vehicle for use as a wheelchair accessible taxi.</w:t>
      </w:r>
    </w:p>
    <w:p w14:paraId="073B93E6" w14:textId="77777777" w:rsidR="00347D92" w:rsidRDefault="00347D92" w:rsidP="00FD7ACB">
      <w:pPr>
        <w:pStyle w:val="ListParagraph"/>
        <w:numPr>
          <w:ilvl w:val="0"/>
          <w:numId w:val="41"/>
        </w:numPr>
      </w:pPr>
      <w:r>
        <w:t xml:space="preserve">The subsidised centralised booking service for </w:t>
      </w:r>
      <w:r w:rsidR="0040558E">
        <w:t>WATs</w:t>
      </w:r>
      <w:r>
        <w:t xml:space="preserve"> in metropolitan Sydney.</w:t>
      </w:r>
    </w:p>
    <w:p w14:paraId="13A59F4C" w14:textId="77777777" w:rsidR="00347D92" w:rsidRDefault="00347D92" w:rsidP="00FD7ACB">
      <w:pPr>
        <w:pStyle w:val="ListParagraph"/>
        <w:numPr>
          <w:ilvl w:val="0"/>
          <w:numId w:val="41"/>
        </w:numPr>
      </w:pPr>
      <w:r>
        <w:t xml:space="preserve">The </w:t>
      </w:r>
      <w:r w:rsidR="0040558E">
        <w:t>WAT</w:t>
      </w:r>
      <w:r>
        <w:t xml:space="preserve"> Driver Incentive Payment</w:t>
      </w:r>
      <w:r w:rsidR="0040558E">
        <w:t xml:space="preserve"> (WATDIS)</w:t>
      </w:r>
      <w:r>
        <w:t xml:space="preserve"> of $15 (excluding GST) which is paid when drivers carry a passenger in a wheelchair.</w:t>
      </w:r>
    </w:p>
    <w:p w14:paraId="53DCD7B0" w14:textId="77777777" w:rsidR="00384625" w:rsidRDefault="00384625">
      <w:pPr>
        <w:pStyle w:val="Heading3"/>
      </w:pPr>
      <w:bookmarkStart w:id="18" w:name="_Toc21956263"/>
      <w:r>
        <w:t>Feedback on free</w:t>
      </w:r>
      <w:r w:rsidR="004723C7">
        <w:t xml:space="preserve"> WAT</w:t>
      </w:r>
      <w:r>
        <w:t xml:space="preserve"> licences</w:t>
      </w:r>
      <w:bookmarkEnd w:id="18"/>
    </w:p>
    <w:p w14:paraId="5A4B53CD" w14:textId="24B728F3" w:rsidR="00384625" w:rsidRDefault="00A42AF2" w:rsidP="0029095C">
      <w:r>
        <w:t xml:space="preserve">To support the operation of existing and new WAT services across NSW, WAT licences are available free of charge at any time. </w:t>
      </w:r>
      <w:r w:rsidR="00734CE5" w:rsidRPr="00C228AA">
        <w:t xml:space="preserve">The taxi </w:t>
      </w:r>
      <w:r w:rsidR="00734CE5" w:rsidRPr="00092E63">
        <w:t>i</w:t>
      </w:r>
      <w:r w:rsidR="00734CE5" w:rsidRPr="009B41D4">
        <w:t xml:space="preserve">ndustry </w:t>
      </w:r>
      <w:r w:rsidR="00734CE5" w:rsidRPr="00C228AA">
        <w:t>indicated that the high initial cost of purchasing and modifying a WAV is a barrier to entry into the WAT market.</w:t>
      </w:r>
      <w:r w:rsidR="00734CE5">
        <w:t xml:space="preserve"> </w:t>
      </w:r>
      <w:r w:rsidR="00022DF7">
        <w:t>Feedback</w:t>
      </w:r>
      <w:r w:rsidR="004723EB">
        <w:t xml:space="preserve"> suggested that </w:t>
      </w:r>
      <w:r w:rsidR="00AA36F7">
        <w:t xml:space="preserve">free licences do offset the cost of </w:t>
      </w:r>
      <w:r w:rsidR="00C32C44">
        <w:t>putting a WAT on the road and maintaining it, and that a licence fee would be a deterrent to entering the market</w:t>
      </w:r>
      <w:r w:rsidR="000504EE">
        <w:t>.</w:t>
      </w:r>
    </w:p>
    <w:p w14:paraId="16DAC9A6" w14:textId="77777777" w:rsidR="00295EA8" w:rsidRPr="00840C10" w:rsidRDefault="00295EA8">
      <w:pPr>
        <w:rPr>
          <w:b/>
          <w:color w:val="1F497D" w:themeColor="text2"/>
        </w:rPr>
      </w:pPr>
      <w:r w:rsidRPr="00E949D0">
        <w:rPr>
          <w:b/>
          <w:color w:val="1F497D" w:themeColor="text2"/>
        </w:rPr>
        <w:t>Comment:</w:t>
      </w:r>
    </w:p>
    <w:p w14:paraId="7D0648D9" w14:textId="77777777" w:rsidR="000C3441" w:rsidRDefault="000C3441" w:rsidP="0029095C">
      <w:r>
        <w:t xml:space="preserve">The Point to Point Transport Commissioner monitors compliance with the licence condition for all wheelchair accessible taxis to give priority to people who use wheelchairs. </w:t>
      </w:r>
      <w:r w:rsidRPr="000C3441">
        <w:t xml:space="preserve">As a first step, the Commissioner uses TTSS data for an indication of the number of wheelchair </w:t>
      </w:r>
      <w:r w:rsidR="0036643F">
        <w:t>jobs a WAT has carried out, targeting the bottom 20% of performance for monitoring and potential enforcement action. The first round of compliance activity completed in the second half of 2018 indicates that there is still capacity within the existing WAT fleet to complete WAT jobs.</w:t>
      </w:r>
      <w:r>
        <w:t xml:space="preserve"> </w:t>
      </w:r>
    </w:p>
    <w:p w14:paraId="7525A65D" w14:textId="77777777" w:rsidR="00C3115F" w:rsidRDefault="00C3115F" w:rsidP="0029095C"/>
    <w:p w14:paraId="406C2F9A" w14:textId="77777777" w:rsidR="00C3115F" w:rsidRPr="00EE3CBD" w:rsidRDefault="00C3115F" w:rsidP="00C3115F">
      <w:pPr>
        <w:rPr>
          <w:b/>
          <w:color w:val="1F497D" w:themeColor="text2"/>
        </w:rPr>
      </w:pPr>
      <w:r w:rsidRPr="00EE3CBD">
        <w:rPr>
          <w:b/>
          <w:color w:val="1F497D" w:themeColor="text2"/>
        </w:rPr>
        <w:t>Finding:</w:t>
      </w:r>
    </w:p>
    <w:p w14:paraId="116AFD7E" w14:textId="58B7304A" w:rsidR="000C3441" w:rsidRDefault="000C3441" w:rsidP="0029095C">
      <w:r>
        <w:lastRenderedPageBreak/>
        <w:t>The NSW Government is committed to ensuring the availability of wheelchair accessible services throughout NSW, retaining the current levels of service a</w:t>
      </w:r>
      <w:r w:rsidR="0036643F">
        <w:t>t</w:t>
      </w:r>
      <w:r>
        <w:t xml:space="preserve"> a minimum. </w:t>
      </w:r>
      <w:r w:rsidR="00DF0077">
        <w:t>T</w:t>
      </w:r>
      <w:r w:rsidR="00FD5C1D">
        <w:t>he free WAT licence</w:t>
      </w:r>
      <w:r w:rsidR="00DF0077">
        <w:t xml:space="preserve"> </w:t>
      </w:r>
      <w:r w:rsidR="00FD5C1D">
        <w:t>is a valuable incentive</w:t>
      </w:r>
      <w:r w:rsidR="00DF0077">
        <w:t xml:space="preserve"> to ensuring the supply of WATs in NSW</w:t>
      </w:r>
      <w:r w:rsidR="004D4506">
        <w:t>;</w:t>
      </w:r>
      <w:r w:rsidR="00DF0077">
        <w:t xml:space="preserve"> and there is capacity within the existing fleet to complete additional WAT jobs. </w:t>
      </w:r>
    </w:p>
    <w:p w14:paraId="17FBCD90" w14:textId="77777777" w:rsidR="00384625" w:rsidRDefault="00384625">
      <w:pPr>
        <w:pStyle w:val="Heading3"/>
      </w:pPr>
      <w:bookmarkStart w:id="19" w:name="_Toc21956264"/>
      <w:r>
        <w:t>Feedback on the loan scheme</w:t>
      </w:r>
      <w:bookmarkEnd w:id="19"/>
    </w:p>
    <w:p w14:paraId="7CCCFBE0" w14:textId="05F77812" w:rsidR="007402DD" w:rsidRDefault="007402DD" w:rsidP="00A41075">
      <w:r w:rsidRPr="007044A3">
        <w:t xml:space="preserve">Interest free loans are available for the initial cost of putting a wheelchair accessible taxi on the road. </w:t>
      </w:r>
    </w:p>
    <w:p w14:paraId="5EE7BB7B" w14:textId="7D613C1C" w:rsidR="00384625" w:rsidRDefault="0093643A" w:rsidP="0029095C">
      <w:r>
        <w:t>The NSW Taxi Council suggested that the interest free loan scheme should be available all year round and that funding should also be available for upgrades and repairs to extend the life of the vehicle.</w:t>
      </w:r>
      <w:r>
        <w:rPr>
          <w:rStyle w:val="FootnoteReference"/>
        </w:rPr>
        <w:footnoteReference w:id="13"/>
      </w:r>
      <w:r w:rsidR="006F655A">
        <w:t xml:space="preserve"> </w:t>
      </w:r>
    </w:p>
    <w:p w14:paraId="7B10484E" w14:textId="77777777" w:rsidR="001E18D4" w:rsidRDefault="001E18D4" w:rsidP="0029095C">
      <w:r>
        <w:t>The Community Transport Organisation has asked that the loan scheme be expanded to include non-taxi providers.</w:t>
      </w:r>
      <w:r>
        <w:rPr>
          <w:rStyle w:val="FootnoteReference"/>
        </w:rPr>
        <w:footnoteReference w:id="14"/>
      </w:r>
      <w:r>
        <w:t xml:space="preserve"> They note that the current scheme provides little benefit to customers in rural and remote areas where there are no taxis available.</w:t>
      </w:r>
      <w:r>
        <w:rPr>
          <w:rStyle w:val="FootnoteReference"/>
        </w:rPr>
        <w:footnoteReference w:id="15"/>
      </w:r>
      <w:r w:rsidR="00965F0D">
        <w:t xml:space="preserve"> </w:t>
      </w:r>
    </w:p>
    <w:p w14:paraId="3AB2C462" w14:textId="77777777" w:rsidR="00295EA8" w:rsidRPr="00840C10" w:rsidRDefault="00295EA8" w:rsidP="00840C10">
      <w:pPr>
        <w:rPr>
          <w:b/>
          <w:color w:val="1F497D" w:themeColor="text2"/>
        </w:rPr>
      </w:pPr>
      <w:r w:rsidRPr="00E949D0">
        <w:rPr>
          <w:b/>
          <w:color w:val="1F497D" w:themeColor="text2"/>
        </w:rPr>
        <w:t>Comment:</w:t>
      </w:r>
    </w:p>
    <w:p w14:paraId="01C5F421" w14:textId="7E261235" w:rsidR="00A41075" w:rsidRDefault="00A41075" w:rsidP="00893D18">
      <w:r w:rsidRPr="007044A3">
        <w:t xml:space="preserve">NSW is the only state or territory that </w:t>
      </w:r>
      <w:r>
        <w:t xml:space="preserve">currently </w:t>
      </w:r>
      <w:r w:rsidRPr="007044A3">
        <w:t xml:space="preserve">provides </w:t>
      </w:r>
      <w:r>
        <w:t>loans</w:t>
      </w:r>
      <w:r w:rsidRPr="007044A3">
        <w:t xml:space="preserve"> for purchasing </w:t>
      </w:r>
      <w:r>
        <w:t>w</w:t>
      </w:r>
      <w:r w:rsidRPr="007044A3">
        <w:t xml:space="preserve">heelchair accessible </w:t>
      </w:r>
      <w:r>
        <w:t>t</w:t>
      </w:r>
      <w:r w:rsidRPr="007044A3">
        <w:t>axis.</w:t>
      </w:r>
      <w:r>
        <w:t xml:space="preserve"> However, the Queensland Government is providing one-off grant based funding to modernise their WAT fleet. WATs </w:t>
      </w:r>
      <w:r w:rsidRPr="00D567B0">
        <w:t>aged eight years or older will be eligible for 50 percent funding for gradual vehicle replacement from 2019-20 through to 2022-23</w:t>
      </w:r>
      <w:r>
        <w:t>.</w:t>
      </w:r>
      <w:r>
        <w:rPr>
          <w:rStyle w:val="FootnoteReference"/>
        </w:rPr>
        <w:footnoteReference w:id="16"/>
      </w:r>
      <w:r w:rsidR="00893D18">
        <w:t xml:space="preserve"> In Victoria, the Wheelchair Accessible Vehicle Subsidy Scheme subsides the purchase or upgrade of wheelchair accessible vehicles in urban, regional and country areas up to a maximum amount of $44,000. Recipients of the subsidy must enter into an agreement with Commercial Passenger Vehicles Victoria (CPVV) that requires the owner to operate the vehicle in the geographic area nominated in the application and provide priority to wheelchair passengers. Since 2014, CPVV has paid over $3 million to support the introduction of 84 new or upgraded WAVs.</w:t>
      </w:r>
    </w:p>
    <w:p w14:paraId="22334233" w14:textId="77777777" w:rsidR="00A41075" w:rsidRPr="007044A3" w:rsidRDefault="00A41075" w:rsidP="00A41075">
      <w:r>
        <w:t xml:space="preserve">Since the loan scheme was expanded in </w:t>
      </w:r>
      <w:r w:rsidRPr="007044A3">
        <w:t>2016</w:t>
      </w:r>
      <w:r>
        <w:t>,</w:t>
      </w:r>
      <w:r w:rsidRPr="007044A3">
        <w:t xml:space="preserve"> </w:t>
      </w:r>
      <w:r>
        <w:t>lo</w:t>
      </w:r>
      <w:r w:rsidRPr="007044A3">
        <w:t>ans are</w:t>
      </w:r>
      <w:r>
        <w:t xml:space="preserve"> now awarded through funding rounds</w:t>
      </w:r>
      <w:r w:rsidRPr="007044A3">
        <w:t xml:space="preserve"> to manage the larger volume of applications</w:t>
      </w:r>
      <w:r>
        <w:t>,</w:t>
      </w:r>
      <w:r w:rsidRPr="007044A3">
        <w:t xml:space="preserve"> and </w:t>
      </w:r>
      <w:r>
        <w:t xml:space="preserve">to </w:t>
      </w:r>
      <w:r w:rsidRPr="007044A3">
        <w:t>give effect to the policy commitment to prioritise areas of high need</w:t>
      </w:r>
      <w:r>
        <w:t>. The loans are now</w:t>
      </w:r>
      <w:r w:rsidRPr="007044A3">
        <w:t>:</w:t>
      </w:r>
    </w:p>
    <w:p w14:paraId="237F5874" w14:textId="77777777" w:rsidR="00A41075" w:rsidRPr="007044A3" w:rsidRDefault="00A41075" w:rsidP="00672D40">
      <w:pPr>
        <w:pStyle w:val="ListParagraph"/>
        <w:numPr>
          <w:ilvl w:val="0"/>
          <w:numId w:val="49"/>
        </w:numPr>
      </w:pPr>
      <w:r>
        <w:t>f</w:t>
      </w:r>
      <w:r w:rsidRPr="007044A3">
        <w:t xml:space="preserve">or a maximum of $100,000, repayable over 10 years </w:t>
      </w:r>
    </w:p>
    <w:p w14:paraId="67710DEA" w14:textId="77777777" w:rsidR="00A41075" w:rsidRPr="007044A3" w:rsidRDefault="00A41075" w:rsidP="00672D40">
      <w:pPr>
        <w:pStyle w:val="ListParagraph"/>
        <w:numPr>
          <w:ilvl w:val="0"/>
          <w:numId w:val="49"/>
        </w:numPr>
      </w:pPr>
      <w:r>
        <w:t>f</w:t>
      </w:r>
      <w:r w:rsidRPr="007044A3">
        <w:t>rom a total pool of $5 million</w:t>
      </w:r>
    </w:p>
    <w:p w14:paraId="772FB78D" w14:textId="77777777" w:rsidR="00A41075" w:rsidRPr="007044A3" w:rsidRDefault="00A41075" w:rsidP="00672D40">
      <w:pPr>
        <w:pStyle w:val="ListParagraph"/>
        <w:numPr>
          <w:ilvl w:val="0"/>
          <w:numId w:val="49"/>
        </w:numPr>
      </w:pPr>
      <w:r>
        <w:t xml:space="preserve">throughout New </w:t>
      </w:r>
      <w:r w:rsidRPr="007044A3">
        <w:t xml:space="preserve">South Wales </w:t>
      </w:r>
    </w:p>
    <w:p w14:paraId="4E751780" w14:textId="4407EAB7" w:rsidR="00A41075" w:rsidRDefault="00A41075" w:rsidP="00A41075">
      <w:r>
        <w:t>Four</w:t>
      </w:r>
      <w:r w:rsidRPr="007044A3">
        <w:t xml:space="preserve"> rounds of applications have been completed under the new funding arrangements</w:t>
      </w:r>
      <w:r w:rsidR="009835DE">
        <w:t>.</w:t>
      </w:r>
      <w:r w:rsidRPr="007044A3">
        <w:t xml:space="preserve"> </w:t>
      </w:r>
      <w:r w:rsidR="009835DE">
        <w:t>A</w:t>
      </w:r>
      <w:r w:rsidRPr="007044A3">
        <w:t xml:space="preserve"> total of </w:t>
      </w:r>
      <w:r>
        <w:t>19</w:t>
      </w:r>
      <w:r w:rsidRPr="007044A3">
        <w:t xml:space="preserve"> lo</w:t>
      </w:r>
      <w:r>
        <w:t xml:space="preserve">ans have been funded over the </w:t>
      </w:r>
      <w:r w:rsidR="009835DE">
        <w:t xml:space="preserve">first </w:t>
      </w:r>
      <w:r>
        <w:t>three</w:t>
      </w:r>
      <w:r w:rsidRPr="007044A3">
        <w:t xml:space="preserve"> rounds.</w:t>
      </w:r>
      <w:r w:rsidR="009835DE">
        <w:t xml:space="preserve"> A further 39 loans were approved in the 2019 round.</w:t>
      </w:r>
      <w:r w:rsidRPr="00A41075">
        <w:t xml:space="preserve"> </w:t>
      </w:r>
      <w:r>
        <w:t xml:space="preserve">Most loans sought are for between $75-80,000. 65 </w:t>
      </w:r>
      <w:r w:rsidRPr="007044A3">
        <w:t>percent of the applications received across th</w:t>
      </w:r>
      <w:r>
        <w:t>e first</w:t>
      </w:r>
      <w:r w:rsidRPr="007044A3">
        <w:t xml:space="preserve"> two rounds were from metropolitan Sydney. </w:t>
      </w:r>
      <w:r>
        <w:t xml:space="preserve">In the third round, applications were restricted to areas outside metropolitan Sydney. </w:t>
      </w:r>
      <w:r w:rsidR="009835DE">
        <w:t xml:space="preserve">In the 2019 round, loans were available throughout NSW, in particular to ensure that funds were available to replace </w:t>
      </w:r>
      <w:r w:rsidR="009835DE" w:rsidRPr="00513A00">
        <w:rPr>
          <w:rFonts w:cs="Arial"/>
        </w:rPr>
        <w:t xml:space="preserve">vehicles that have to be decommissioned or further modified by November 2019 to meet the 2017 WAV </w:t>
      </w:r>
      <w:r w:rsidR="009835DE" w:rsidRPr="00513A00">
        <w:rPr>
          <w:rFonts w:cs="Arial"/>
        </w:rPr>
        <w:lastRenderedPageBreak/>
        <w:t>measurement requirements established in clause 10 of the Regulation.</w:t>
      </w:r>
      <w:r w:rsidR="009835DE">
        <w:rPr>
          <w:rFonts w:cs="Arial"/>
        </w:rPr>
        <w:t xml:space="preserve"> Over 70 percent of the applications were from metropolitan Sydney.</w:t>
      </w:r>
    </w:p>
    <w:p w14:paraId="7CA18B7D" w14:textId="17583442" w:rsidR="00A41075" w:rsidRDefault="009835DE" w:rsidP="00A41075">
      <w:r>
        <w:t>To date, n</w:t>
      </w:r>
      <w:r w:rsidR="00A41075" w:rsidRPr="007044A3">
        <w:t>o app</w:t>
      </w:r>
      <w:r w:rsidR="00A41075">
        <w:t>lications were</w:t>
      </w:r>
      <w:r w:rsidR="00A41075" w:rsidRPr="007044A3">
        <w:t xml:space="preserve"> received from a town without an existing WAT service</w:t>
      </w:r>
      <w:r w:rsidR="00A41075">
        <w:t xml:space="preserve">, however loans have been awarded for replacement vehicles </w:t>
      </w:r>
      <w:r>
        <w:t>in towns with only one WAT</w:t>
      </w:r>
      <w:r w:rsidR="00A41075" w:rsidRPr="007044A3">
        <w:t>.</w:t>
      </w:r>
    </w:p>
    <w:p w14:paraId="0BF1D3B0" w14:textId="77777777" w:rsidR="00EE3CBD" w:rsidRPr="00EE3CBD" w:rsidRDefault="00EE3CBD" w:rsidP="00EE3CBD">
      <w:pPr>
        <w:rPr>
          <w:b/>
          <w:color w:val="1F497D" w:themeColor="text2"/>
        </w:rPr>
      </w:pPr>
      <w:r w:rsidRPr="00EE3CBD">
        <w:rPr>
          <w:b/>
          <w:color w:val="1F497D" w:themeColor="text2"/>
        </w:rPr>
        <w:t>Finding:</w:t>
      </w:r>
    </w:p>
    <w:p w14:paraId="1A19F974" w14:textId="0F57DD54" w:rsidR="00EE3CBD" w:rsidRPr="00513A00" w:rsidRDefault="003931EE" w:rsidP="0029095C">
      <w:pPr>
        <w:rPr>
          <w:rFonts w:cs="Arial"/>
        </w:rPr>
      </w:pPr>
      <w:r>
        <w:rPr>
          <w:rFonts w:cs="Arial"/>
        </w:rPr>
        <w:t>Along with free licences, the loan scheme provides a valuable incentive in ensuring the supply of W</w:t>
      </w:r>
      <w:r w:rsidR="006246BE">
        <w:rPr>
          <w:rFonts w:cs="Arial"/>
        </w:rPr>
        <w:t xml:space="preserve">ATs in NSW. </w:t>
      </w:r>
      <w:r w:rsidR="00A41075">
        <w:rPr>
          <w:rFonts w:cs="Arial"/>
        </w:rPr>
        <w:t>However, demand for the loans has mainly come from metropolitan Sydney and large regional centres.</w:t>
      </w:r>
    </w:p>
    <w:p w14:paraId="71838A64" w14:textId="77777777" w:rsidR="009326E0" w:rsidRDefault="009326E0">
      <w:pPr>
        <w:pStyle w:val="Heading3"/>
      </w:pPr>
      <w:bookmarkStart w:id="20" w:name="_Toc21956265"/>
      <w:r>
        <w:t xml:space="preserve">Feedback on the </w:t>
      </w:r>
      <w:r w:rsidR="00EE3CBD">
        <w:t xml:space="preserve">WAT </w:t>
      </w:r>
      <w:r>
        <w:t>driver incentive</w:t>
      </w:r>
      <w:bookmarkEnd w:id="20"/>
    </w:p>
    <w:p w14:paraId="5E610175" w14:textId="77777777" w:rsidR="007402DD" w:rsidRDefault="007402DD" w:rsidP="0029095C">
      <w:r>
        <w:rPr>
          <w:szCs w:val="22"/>
        </w:rPr>
        <w:t xml:space="preserve">The Wheelchair Accessible Taxi Driver Incentive of $15 (excluding GST) is paid for each trip where an M50 passenger is travelling in a WAT. </w:t>
      </w:r>
      <w:r>
        <w:t>The driver incentive is provided to address two main functions; the first is</w:t>
      </w:r>
      <w:r>
        <w:rPr>
          <w:rFonts w:eastAsiaTheme="majorEastAsia"/>
          <w:snapToGrid w:val="0"/>
        </w:rPr>
        <w:t xml:space="preserve"> to encourage prioritisation of M50 journeys by drivers, and the second is to compensate drivers for the extra time taken to load and unload a passenger in a wheelchair. C</w:t>
      </w:r>
      <w:r w:rsidRPr="007044A3">
        <w:rPr>
          <w:rFonts w:eastAsiaTheme="majorEastAsia"/>
          <w:snapToGrid w:val="0"/>
        </w:rPr>
        <w:t xml:space="preserve">lause 82 of the </w:t>
      </w:r>
      <w:r w:rsidRPr="00AB4AD2">
        <w:rPr>
          <w:rFonts w:eastAsiaTheme="majorEastAsia"/>
          <w:snapToGrid w:val="0"/>
        </w:rPr>
        <w:t>Regulation requires a driver of</w:t>
      </w:r>
      <w:r w:rsidRPr="007044A3">
        <w:t xml:space="preserve"> a WAT to which a fare calculation device is fitted, to only start the device when the taxi is ready to safely transport a passenger in a wheelchair and to stop the device on arrival at the destination.</w:t>
      </w:r>
      <w:r>
        <w:t xml:space="preserve"> </w:t>
      </w:r>
    </w:p>
    <w:p w14:paraId="4A81CB55" w14:textId="00C690F5" w:rsidR="00785844" w:rsidRDefault="00E365DE" w:rsidP="0029095C">
      <w:pPr>
        <w:rPr>
          <w:rFonts w:eastAsiaTheme="majorEastAsia"/>
          <w:snapToGrid w:val="0"/>
        </w:rPr>
      </w:pPr>
      <w:r>
        <w:t>The review received feedback and</w:t>
      </w:r>
      <w:r w:rsidR="00785844">
        <w:t xml:space="preserve"> submissions</w:t>
      </w:r>
      <w:r w:rsidR="00CE61C4">
        <w:t xml:space="preserve"> </w:t>
      </w:r>
      <w:r>
        <w:t>suggesting</w:t>
      </w:r>
      <w:r w:rsidR="00785844">
        <w:t xml:space="preserve"> that drivers continue to engage the meter before passengers are secured in the vehicle</w:t>
      </w:r>
      <w:r w:rsidR="00CE61C4">
        <w:t>. T</w:t>
      </w:r>
      <w:r w:rsidR="00785844">
        <w:t xml:space="preserve">he </w:t>
      </w:r>
      <w:r w:rsidR="00DB4714">
        <w:t xml:space="preserve">Point to Point Transport Commission </w:t>
      </w:r>
      <w:r w:rsidR="00785844">
        <w:t xml:space="preserve">Industry Contact Centre </w:t>
      </w:r>
      <w:r w:rsidR="00CE61C4">
        <w:t xml:space="preserve">has received complaints </w:t>
      </w:r>
      <w:r w:rsidR="00BF64EA">
        <w:t xml:space="preserve">from two individuals </w:t>
      </w:r>
      <w:r w:rsidR="00CE61C4">
        <w:t>on this issue</w:t>
      </w:r>
      <w:r w:rsidR="00785844">
        <w:t>.</w:t>
      </w:r>
      <w:r w:rsidR="00785844">
        <w:rPr>
          <w:rStyle w:val="FootnoteReference"/>
        </w:rPr>
        <w:footnoteReference w:id="17"/>
      </w:r>
      <w:r w:rsidR="00785844">
        <w:t xml:space="preserve"> </w:t>
      </w:r>
    </w:p>
    <w:p w14:paraId="70624FF2" w14:textId="5569047A" w:rsidR="009326E0" w:rsidRPr="00AB4AD2" w:rsidRDefault="009326E0" w:rsidP="0029095C">
      <w:r>
        <w:t>Consultations with the NSW Taxi Council</w:t>
      </w:r>
      <w:r w:rsidRPr="00AB4AD2">
        <w:t>, the financial viability assessment</w:t>
      </w:r>
      <w:r>
        <w:t>,</w:t>
      </w:r>
      <w:r w:rsidRPr="00AB4AD2">
        <w:t xml:space="preserve"> and the public consultation forums </w:t>
      </w:r>
      <w:r>
        <w:t xml:space="preserve">all </w:t>
      </w:r>
      <w:r w:rsidRPr="00AB4AD2">
        <w:t>indicate that the WATDIS i</w:t>
      </w:r>
      <w:r w:rsidR="00893D18">
        <w:t>s</w:t>
      </w:r>
      <w:r w:rsidRPr="00AB4AD2">
        <w:t xml:space="preserve"> a strong incentive</w:t>
      </w:r>
      <w:r>
        <w:t xml:space="preserve"> to complete wheelchair jobs</w:t>
      </w:r>
      <w:r w:rsidRPr="00AB4AD2">
        <w:t xml:space="preserve"> and a key factor affecting the sustainability of wheelchair accessible services. </w:t>
      </w:r>
    </w:p>
    <w:p w14:paraId="06A1EF7A" w14:textId="51DD0CAD" w:rsidR="009326E0" w:rsidRPr="00AB4AD2" w:rsidRDefault="009326E0" w:rsidP="0029095C">
      <w:r w:rsidRPr="007044A3">
        <w:t xml:space="preserve">M50 trips are </w:t>
      </w:r>
      <w:r>
        <w:t xml:space="preserve">generally more lucrative than </w:t>
      </w:r>
      <w:r w:rsidR="00173C54">
        <w:t>conventional taxi</w:t>
      </w:r>
      <w:r>
        <w:t xml:space="preserve"> trips, both because of the WATDIS and because they tend to be longer on average.</w:t>
      </w:r>
      <w:r w:rsidR="00173C54">
        <w:rPr>
          <w:rStyle w:val="FootnoteReference"/>
        </w:rPr>
        <w:footnoteReference w:id="18"/>
      </w:r>
      <w:r>
        <w:t xml:space="preserve"> </w:t>
      </w:r>
      <w:r w:rsidRPr="007044A3">
        <w:t xml:space="preserve"> </w:t>
      </w:r>
      <w:r w:rsidRPr="00AB4AD2">
        <w:t xml:space="preserve">Outside of Sydney, where the average trip is significantly shorter, the WATDIS becomes a much larger component of the total fare. </w:t>
      </w:r>
      <w:r w:rsidR="00173C54">
        <w:t>I</w:t>
      </w:r>
      <w:r w:rsidRPr="00AB4AD2">
        <w:t>n Sydney the WATDIS represents on average 29</w:t>
      </w:r>
      <w:r w:rsidR="008C63AD">
        <w:t xml:space="preserve"> percent</w:t>
      </w:r>
      <w:r w:rsidRPr="00AB4AD2">
        <w:t xml:space="preserve"> of the total fare, this proportion increases to 39</w:t>
      </w:r>
      <w:r w:rsidR="008C63AD">
        <w:t xml:space="preserve"> percent</w:t>
      </w:r>
      <w:r w:rsidRPr="00AB4AD2">
        <w:t xml:space="preserve"> in other urban areas</w:t>
      </w:r>
      <w:r w:rsidRPr="00AB4AD2">
        <w:rPr>
          <w:vertAlign w:val="superscript"/>
        </w:rPr>
        <w:footnoteReference w:id="19"/>
      </w:r>
      <w:r w:rsidRPr="00AB4AD2">
        <w:t xml:space="preserve"> and 48</w:t>
      </w:r>
      <w:r w:rsidR="00AF2CBA">
        <w:t xml:space="preserve"> percent</w:t>
      </w:r>
      <w:r w:rsidRPr="00AB4AD2">
        <w:t xml:space="preserve"> in Regional areas.</w:t>
      </w:r>
      <w:r w:rsidRPr="00AB4AD2">
        <w:rPr>
          <w:vertAlign w:val="superscript"/>
        </w:rPr>
        <w:footnoteReference w:id="20"/>
      </w:r>
      <w:r w:rsidRPr="00AB4AD2">
        <w:t xml:space="preserve"> This indicates that WAT services operating outside Sydney receive a greater relative benefit than metropolitan WAT services from the WATDIS. In areas with a low customer base, this may contribute to the overall sustainability of the business.</w:t>
      </w:r>
    </w:p>
    <w:p w14:paraId="0D6CD8D7" w14:textId="77777777" w:rsidR="009326E0" w:rsidRDefault="009326E0" w:rsidP="0029095C">
      <w:r>
        <w:t>Not all WAT jobs are requested by M50 users; u</w:t>
      </w:r>
      <w:r w:rsidRPr="007044A3">
        <w:t xml:space="preserve">nsubsidised WAT jobs </w:t>
      </w:r>
      <w:r>
        <w:t xml:space="preserve">booked outside the TTSS </w:t>
      </w:r>
      <w:r w:rsidRPr="007044A3">
        <w:t>might be self-funded or funded by an insurance company, nursing home or private hospital</w:t>
      </w:r>
      <w:r>
        <w:t>, and will not include a WATDIS</w:t>
      </w:r>
      <w:r w:rsidRPr="007044A3">
        <w:t xml:space="preserve">. </w:t>
      </w:r>
      <w:r w:rsidR="00173C54">
        <w:t>Further</w:t>
      </w:r>
      <w:r w:rsidR="00173C54" w:rsidRPr="007044A3">
        <w:t xml:space="preserve">, many industry participants argue that there are a large number of </w:t>
      </w:r>
      <w:r w:rsidR="00173C54">
        <w:t>WAT</w:t>
      </w:r>
      <w:r w:rsidR="00173C54" w:rsidRPr="007044A3">
        <w:t xml:space="preserve"> jobs where the passenger is not a TTSS participant or where the passenger is an M40 client who </w:t>
      </w:r>
      <w:r w:rsidR="00173C54">
        <w:t>requires a WAT, for example a client with a mobility scooter</w:t>
      </w:r>
      <w:r w:rsidR="00173C54" w:rsidRPr="00C876C9">
        <w:t xml:space="preserve">. </w:t>
      </w:r>
      <w:r w:rsidRPr="007044A3">
        <w:t xml:space="preserve">A representative of Zero200 argued that </w:t>
      </w:r>
      <w:r w:rsidRPr="007044A3">
        <w:lastRenderedPageBreak/>
        <w:t>drivers are ‘chasing’ the M50 jobs and refusing to take jobs that do not attract the WATDIS.</w:t>
      </w:r>
      <w:r w:rsidRPr="009239B0">
        <w:rPr>
          <w:rStyle w:val="FootnoteReference"/>
          <w:rFonts w:cs="Arial"/>
          <w:color w:val="000000"/>
          <w:spacing w:val="4"/>
          <w:szCs w:val="20"/>
        </w:rPr>
        <w:footnoteReference w:id="21"/>
      </w:r>
      <w:r w:rsidRPr="007044A3">
        <w:t xml:space="preserve"> </w:t>
      </w:r>
    </w:p>
    <w:p w14:paraId="23C76874" w14:textId="77777777" w:rsidR="009326E0" w:rsidRPr="00F809D8" w:rsidRDefault="009326E0" w:rsidP="0029095C">
      <w:pPr>
        <w:rPr>
          <w:rFonts w:cs="Arial"/>
        </w:rPr>
      </w:pPr>
      <w:r w:rsidRPr="003F68A9">
        <w:rPr>
          <w:rFonts w:cs="Arial"/>
        </w:rPr>
        <w:t>People with Disability Australia and the NSW Taxi Council have suggested extending the WATDIS to participants using a mobility scooter, who otherwise meet the requirements of the scheme.</w:t>
      </w:r>
      <w:r w:rsidRPr="003F68A9">
        <w:rPr>
          <w:rStyle w:val="FootnoteReference"/>
          <w:rFonts w:cs="Arial"/>
          <w:color w:val="000000"/>
          <w:spacing w:val="4"/>
          <w:szCs w:val="20"/>
        </w:rPr>
        <w:footnoteReference w:id="22"/>
      </w:r>
      <w:r w:rsidRPr="003F68A9">
        <w:rPr>
          <w:rFonts w:cs="Arial"/>
        </w:rPr>
        <w:t xml:space="preserve"> </w:t>
      </w:r>
      <w:r w:rsidR="00DB4714">
        <w:rPr>
          <w:rFonts w:cs="Arial"/>
        </w:rPr>
        <w:t>A</w:t>
      </w:r>
      <w:r>
        <w:t xml:space="preserve">nalysis of TTSS dockets showed that </w:t>
      </w:r>
      <w:r w:rsidRPr="00C876C9">
        <w:t>over 230,000 M40 jobs were completed in wheelchair accessible taxis in 2016, alongside 480,000 M50 jobs.</w:t>
      </w:r>
      <w:r w:rsidRPr="009239B0">
        <w:rPr>
          <w:rStyle w:val="FootnoteReference"/>
          <w:rFonts w:cs="Arial"/>
          <w:color w:val="000000"/>
          <w:spacing w:val="4"/>
          <w:szCs w:val="20"/>
        </w:rPr>
        <w:footnoteReference w:id="23"/>
      </w:r>
      <w:r w:rsidRPr="00AB72D1">
        <w:t xml:space="preserve"> These</w:t>
      </w:r>
      <w:r w:rsidRPr="007044A3">
        <w:t xml:space="preserve"> </w:t>
      </w:r>
      <w:r>
        <w:t xml:space="preserve">M40 </w:t>
      </w:r>
      <w:r w:rsidRPr="007044A3">
        <w:t>passengers may not need to travel in a WAT, however they might also be temporarily using a wheelchair</w:t>
      </w:r>
      <w:r>
        <w:t xml:space="preserve">; or be a permanent wheelchair user who is </w:t>
      </w:r>
      <w:r w:rsidRPr="007044A3">
        <w:t>able to transfer to a seat</w:t>
      </w:r>
      <w:r>
        <w:t>;</w:t>
      </w:r>
      <w:r w:rsidRPr="007044A3">
        <w:t xml:space="preserve"> or </w:t>
      </w:r>
      <w:r w:rsidRPr="00F809D8">
        <w:rPr>
          <w:rFonts w:cs="Arial"/>
        </w:rPr>
        <w:t xml:space="preserve">using a mobility scooter. </w:t>
      </w:r>
    </w:p>
    <w:p w14:paraId="33FEF465" w14:textId="77777777" w:rsidR="009326E0" w:rsidRPr="00F809D8" w:rsidRDefault="00DB4714" w:rsidP="0029095C">
      <w:pPr>
        <w:rPr>
          <w:rFonts w:cs="Arial"/>
        </w:rPr>
      </w:pPr>
      <w:r>
        <w:rPr>
          <w:rFonts w:cs="Arial"/>
        </w:rPr>
        <w:t>S</w:t>
      </w:r>
      <w:r w:rsidR="00173C54">
        <w:rPr>
          <w:rFonts w:cs="Arial"/>
        </w:rPr>
        <w:t xml:space="preserve">uggestions were made to tie the WATDIS to customer service outcomes. </w:t>
      </w:r>
      <w:r w:rsidR="00723A2F" w:rsidRPr="00F809D8">
        <w:rPr>
          <w:rFonts w:cs="Arial"/>
        </w:rPr>
        <w:t>The NSW Council of Social Services suggested linking driver incentive payments to completion of driver training, higher proportions of wheelchair jobs completed or positive customer feedback.</w:t>
      </w:r>
      <w:r w:rsidR="00723A2F" w:rsidRPr="00F809D8">
        <w:rPr>
          <w:rStyle w:val="FootnoteReference"/>
          <w:rFonts w:cs="Arial"/>
          <w:color w:val="000000"/>
          <w:spacing w:val="4"/>
          <w:szCs w:val="20"/>
        </w:rPr>
        <w:footnoteReference w:id="24"/>
      </w:r>
      <w:r w:rsidR="00723A2F">
        <w:rPr>
          <w:rFonts w:cs="Arial"/>
        </w:rPr>
        <w:t xml:space="preserve"> </w:t>
      </w:r>
      <w:r w:rsidR="009326E0" w:rsidRPr="00F809D8">
        <w:rPr>
          <w:rFonts w:cs="Arial"/>
        </w:rPr>
        <w:t xml:space="preserve">The Spinal Cord Injuries Association </w:t>
      </w:r>
      <w:r w:rsidR="009326E0">
        <w:rPr>
          <w:rFonts w:cs="Arial"/>
        </w:rPr>
        <w:t>suggested</w:t>
      </w:r>
      <w:r w:rsidR="009326E0" w:rsidRPr="00F809D8">
        <w:rPr>
          <w:rFonts w:cs="Arial"/>
        </w:rPr>
        <w:t xml:space="preserve"> that a variable WATDIS could be used to improve responsiveness to bookings at times or in locations where it is difficult to get a WAT.</w:t>
      </w:r>
      <w:r w:rsidR="009326E0" w:rsidRPr="00F809D8">
        <w:rPr>
          <w:rStyle w:val="FootnoteReference"/>
          <w:rFonts w:cs="Arial"/>
          <w:color w:val="000000"/>
          <w:spacing w:val="4"/>
          <w:szCs w:val="20"/>
        </w:rPr>
        <w:footnoteReference w:id="25"/>
      </w:r>
      <w:r w:rsidR="009326E0" w:rsidRPr="00F809D8">
        <w:rPr>
          <w:rFonts w:cs="Arial"/>
        </w:rPr>
        <w:t xml:space="preserve"> They also indicated that they were keen to ensure that WAT services operated 24/7.</w:t>
      </w:r>
      <w:r w:rsidR="009326E0" w:rsidRPr="00F809D8">
        <w:rPr>
          <w:rStyle w:val="FootnoteReference"/>
          <w:rFonts w:cs="Arial"/>
          <w:color w:val="000000"/>
          <w:spacing w:val="4"/>
          <w:szCs w:val="20"/>
        </w:rPr>
        <w:footnoteReference w:id="26"/>
      </w:r>
      <w:r w:rsidR="00173C54">
        <w:rPr>
          <w:rFonts w:cs="Arial"/>
        </w:rPr>
        <w:t xml:space="preserve"> This opinion w</w:t>
      </w:r>
      <w:r w:rsidR="009326E0" w:rsidRPr="00F809D8">
        <w:rPr>
          <w:rFonts w:cs="Arial"/>
        </w:rPr>
        <w:t xml:space="preserve">as </w:t>
      </w:r>
      <w:r w:rsidR="009326E0">
        <w:rPr>
          <w:rFonts w:cs="Arial"/>
        </w:rPr>
        <w:t xml:space="preserve">also expressed by </w:t>
      </w:r>
      <w:r w:rsidR="00173C54">
        <w:rPr>
          <w:rFonts w:cs="Arial"/>
        </w:rPr>
        <w:t>a taxi industry</w:t>
      </w:r>
      <w:r w:rsidR="009326E0" w:rsidRPr="00F809D8">
        <w:rPr>
          <w:rFonts w:cs="Arial"/>
        </w:rPr>
        <w:t xml:space="preserve"> </w:t>
      </w:r>
      <w:r w:rsidR="00173C54">
        <w:rPr>
          <w:rFonts w:cs="Arial"/>
        </w:rPr>
        <w:t xml:space="preserve">representative who suggested applying a higher incentive </w:t>
      </w:r>
      <w:r w:rsidR="009326E0" w:rsidRPr="00F809D8">
        <w:rPr>
          <w:rFonts w:cs="Arial"/>
        </w:rPr>
        <w:t>at night.</w:t>
      </w:r>
      <w:r w:rsidR="009326E0" w:rsidRPr="00F809D8">
        <w:rPr>
          <w:rStyle w:val="FootnoteReference"/>
          <w:rFonts w:cs="Arial"/>
          <w:color w:val="000000"/>
          <w:spacing w:val="4"/>
          <w:szCs w:val="20"/>
        </w:rPr>
        <w:footnoteReference w:id="27"/>
      </w:r>
      <w:r w:rsidR="009326E0" w:rsidRPr="00F809D8">
        <w:rPr>
          <w:rFonts w:cs="Arial"/>
        </w:rPr>
        <w:t xml:space="preserve"> </w:t>
      </w:r>
    </w:p>
    <w:p w14:paraId="56F2A0C1" w14:textId="77777777" w:rsidR="00295EA8" w:rsidRPr="00840C10" w:rsidRDefault="00295EA8">
      <w:pPr>
        <w:rPr>
          <w:b/>
          <w:color w:val="1F497D" w:themeColor="text2"/>
        </w:rPr>
      </w:pPr>
      <w:r w:rsidRPr="00E949D0">
        <w:rPr>
          <w:b/>
          <w:color w:val="1F497D" w:themeColor="text2"/>
        </w:rPr>
        <w:t>Comment:</w:t>
      </w:r>
    </w:p>
    <w:p w14:paraId="350DF2B1" w14:textId="06C468AB" w:rsidR="009326E0" w:rsidRDefault="009326E0" w:rsidP="0029095C">
      <w:r w:rsidRPr="00F809D8">
        <w:rPr>
          <w:rFonts w:cs="Arial"/>
        </w:rPr>
        <w:t xml:space="preserve">Currently, the location and time of trips is not captured </w:t>
      </w:r>
      <w:r w:rsidR="00B90E73">
        <w:rPr>
          <w:rFonts w:cs="Arial"/>
        </w:rPr>
        <w:t>with sufficient accuracy</w:t>
      </w:r>
      <w:r w:rsidRPr="00F809D8">
        <w:rPr>
          <w:rFonts w:cs="Arial"/>
        </w:rPr>
        <w:t xml:space="preserve"> to determine whether or how a variable subsidy could be applied</w:t>
      </w:r>
      <w:r w:rsidR="00B90E73">
        <w:rPr>
          <w:rFonts w:cs="Arial"/>
        </w:rPr>
        <w:t xml:space="preserve"> or prevent gaming that may result from the application of these types of incentives</w:t>
      </w:r>
      <w:r w:rsidRPr="00F809D8">
        <w:rPr>
          <w:rFonts w:cs="Arial"/>
        </w:rPr>
        <w:t>.</w:t>
      </w:r>
      <w:r w:rsidR="00173C54">
        <w:t xml:space="preserve"> </w:t>
      </w:r>
    </w:p>
    <w:p w14:paraId="50518EDD" w14:textId="283C302D" w:rsidR="00FD7ACB" w:rsidRPr="00EE3CBD" w:rsidRDefault="00EE3CBD" w:rsidP="00EE3CBD">
      <w:pPr>
        <w:rPr>
          <w:b/>
          <w:color w:val="1F497D" w:themeColor="text2"/>
        </w:rPr>
      </w:pPr>
      <w:r w:rsidRPr="00EE3CBD">
        <w:rPr>
          <w:b/>
          <w:color w:val="1F497D" w:themeColor="text2"/>
        </w:rPr>
        <w:t>Finding:</w:t>
      </w:r>
    </w:p>
    <w:p w14:paraId="721FDFE1" w14:textId="057F10AC" w:rsidR="00FD7ACB" w:rsidRPr="00FD7ACB" w:rsidRDefault="00134E0F" w:rsidP="00FD7ACB">
      <w:r>
        <w:t>The WATDIS is a strong incentive to prioritise wheelchair jobs.</w:t>
      </w:r>
      <w:r w:rsidR="00660A88">
        <w:t xml:space="preserve"> As the scheme is extended beyond taxis</w:t>
      </w:r>
      <w:r w:rsidR="004A385A">
        <w:t xml:space="preserve">, increased competition in the wheelchair accessible market may lead to improvements in customer service outcomes. </w:t>
      </w:r>
      <w:r w:rsidR="003D403F">
        <w:t>TfNSW will continue to monitor the availability of wheelchair accessible service</w:t>
      </w:r>
      <w:r w:rsidR="004D4506">
        <w:t>s</w:t>
      </w:r>
      <w:r w:rsidR="003D403F">
        <w:t>, and i</w:t>
      </w:r>
      <w:r w:rsidR="00DA1CEB">
        <w:t>mproved data collection</w:t>
      </w:r>
      <w:r w:rsidR="003D403F">
        <w:t xml:space="preserve"> through </w:t>
      </w:r>
      <w:r w:rsidR="00FF683C">
        <w:t>administrative upgrades</w:t>
      </w:r>
      <w:r w:rsidR="004D4506">
        <w:t>,</w:t>
      </w:r>
      <w:r w:rsidR="003D403F">
        <w:t xml:space="preserve"> will enable better analysis o</w:t>
      </w:r>
      <w:r w:rsidR="008E3F7C">
        <w:t>f the demand for WAT services at different times of the day and in different geographical areas.</w:t>
      </w:r>
      <w:r w:rsidR="003C4415">
        <w:t xml:space="preserve"> </w:t>
      </w:r>
      <w:r w:rsidR="00AF2CBA">
        <w:t xml:space="preserve"> </w:t>
      </w:r>
    </w:p>
    <w:p w14:paraId="4BDCA789" w14:textId="77777777" w:rsidR="00D07D10" w:rsidRDefault="00D07D10">
      <w:pPr>
        <w:pStyle w:val="Heading3"/>
      </w:pPr>
      <w:bookmarkStart w:id="21" w:name="_Toc21956266"/>
      <w:r>
        <w:t>Feedback on the Centralised Booking Service</w:t>
      </w:r>
      <w:bookmarkEnd w:id="21"/>
    </w:p>
    <w:p w14:paraId="6B1402B7" w14:textId="77777777" w:rsidR="00D07D10" w:rsidRPr="007044A3" w:rsidRDefault="00D07D10" w:rsidP="0029095C">
      <w:r w:rsidRPr="007044A3">
        <w:t xml:space="preserve">Zero200 is the </w:t>
      </w:r>
      <w:r w:rsidR="00E16894">
        <w:t xml:space="preserve">current </w:t>
      </w:r>
      <w:r w:rsidRPr="007044A3">
        <w:t xml:space="preserve">centralised booking service (CBS) for wheelchair accessible taxis in Sydney. Under clause 43 of the Regulation, </w:t>
      </w:r>
      <w:r w:rsidR="0068079E">
        <w:t>t</w:t>
      </w:r>
      <w:r w:rsidR="0068079E" w:rsidRPr="007044A3">
        <w:t xml:space="preserve">axi </w:t>
      </w:r>
      <w:r w:rsidR="0068079E">
        <w:t>s</w:t>
      </w:r>
      <w:r w:rsidR="0068079E" w:rsidRPr="007044A3">
        <w:t xml:space="preserve">ervice </w:t>
      </w:r>
      <w:r w:rsidR="0068079E">
        <w:t>p</w:t>
      </w:r>
      <w:r w:rsidR="0068079E" w:rsidRPr="007044A3">
        <w:t xml:space="preserve">roviders </w:t>
      </w:r>
      <w:r w:rsidRPr="007044A3">
        <w:t>in Sydney must enter into an arrangement for the provision of booking services for the wheelchair accessible taxis with Zero200. This service was previously provided privately by Taxi Combined</w:t>
      </w:r>
      <w:r>
        <w:t xml:space="preserve"> Services </w:t>
      </w:r>
      <w:r w:rsidRPr="007044A3">
        <w:t xml:space="preserve">and funded by charging wheelchair accessible taxi operators for accessing the service. Since 1 July 2016, the </w:t>
      </w:r>
      <w:r w:rsidR="0068079E">
        <w:t>NSW G</w:t>
      </w:r>
      <w:r w:rsidR="0068079E" w:rsidRPr="007044A3">
        <w:t xml:space="preserve">overnment </w:t>
      </w:r>
      <w:r w:rsidRPr="007044A3">
        <w:t>has funded this service. According to data provided by Taxi Combined</w:t>
      </w:r>
      <w:r>
        <w:t xml:space="preserve"> Services</w:t>
      </w:r>
      <w:r w:rsidRPr="007044A3">
        <w:t xml:space="preserve">, over </w:t>
      </w:r>
      <w:r w:rsidR="0068079E" w:rsidRPr="007044A3">
        <w:t>12</w:t>
      </w:r>
      <w:r w:rsidR="0068079E">
        <w:t>0,</w:t>
      </w:r>
      <w:r>
        <w:t>000</w:t>
      </w:r>
      <w:r w:rsidRPr="007044A3">
        <w:t xml:space="preserve"> trips were booked through Zero200 in 201</w:t>
      </w:r>
      <w:r>
        <w:t>8</w:t>
      </w:r>
      <w:r w:rsidRPr="007044A3">
        <w:t xml:space="preserve">. This equates to about seven jobs per fortnight for each WAT in Sydney. The total number of M50 </w:t>
      </w:r>
      <w:r>
        <w:t xml:space="preserve">TTSS </w:t>
      </w:r>
      <w:r w:rsidRPr="007044A3">
        <w:t xml:space="preserve">jobs in Sydney over a 12 month period is around 280,000. </w:t>
      </w:r>
    </w:p>
    <w:p w14:paraId="79B91F69" w14:textId="77777777" w:rsidR="00D07D10" w:rsidRPr="00513A00" w:rsidRDefault="00D07D10" w:rsidP="0029095C">
      <w:pPr>
        <w:rPr>
          <w:rFonts w:cs="Arial"/>
        </w:rPr>
      </w:pPr>
      <w:r w:rsidRPr="00513A00">
        <w:rPr>
          <w:rFonts w:cs="Arial"/>
        </w:rPr>
        <w:t>Feedback from both the taxi industry and wheelchair users indicated that the CBS is an essential service.</w:t>
      </w:r>
      <w:r>
        <w:rPr>
          <w:rFonts w:cs="Arial"/>
        </w:rPr>
        <w:t xml:space="preserve"> In general, disability organisations stressed the importance of </w:t>
      </w:r>
      <w:r>
        <w:rPr>
          <w:rFonts w:cs="Arial"/>
        </w:rPr>
        <w:lastRenderedPageBreak/>
        <w:t>retaining phone booking services for point to point transport, manned by staff who are trained to understand the needs of people with disability.</w:t>
      </w:r>
      <w:r>
        <w:rPr>
          <w:rStyle w:val="FootnoteReference"/>
          <w:rFonts w:cs="Arial"/>
        </w:rPr>
        <w:footnoteReference w:id="28"/>
      </w:r>
    </w:p>
    <w:p w14:paraId="4DF705F1" w14:textId="77777777" w:rsidR="00D07D10" w:rsidRPr="00513A00" w:rsidRDefault="00D07D10" w:rsidP="0029095C">
      <w:pPr>
        <w:rPr>
          <w:rFonts w:cs="Arial"/>
        </w:rPr>
      </w:pPr>
      <w:r w:rsidRPr="00513A00">
        <w:rPr>
          <w:rFonts w:cs="Arial"/>
        </w:rPr>
        <w:t>Some submissions asked that the service be extended to areas outside of metropolitan Sydney.</w:t>
      </w:r>
      <w:r w:rsidRPr="00513A00">
        <w:rPr>
          <w:rStyle w:val="FootnoteReference"/>
          <w:rFonts w:cs="Arial"/>
        </w:rPr>
        <w:footnoteReference w:id="29"/>
      </w:r>
      <w:r w:rsidRPr="00513A00">
        <w:rPr>
          <w:rFonts w:cs="Arial"/>
        </w:rPr>
        <w:t xml:space="preserve"> However, t</w:t>
      </w:r>
      <w:r w:rsidR="00997F35">
        <w:rPr>
          <w:rFonts w:cs="Arial"/>
        </w:rPr>
        <w:t xml:space="preserve">here are conditions specific to </w:t>
      </w:r>
      <w:r w:rsidRPr="00513A00">
        <w:rPr>
          <w:rFonts w:cs="Arial"/>
        </w:rPr>
        <w:t>metropolitan Sydney that necessitate the efficient use of wheelchair accessible transport, more so than in other parts of the state. There is more choice available in the broader transport market so clients may use point to point transport less frequently; consequently the jobs are spread thinly over a large geographical area. Further, traffic congestion can significant</w:t>
      </w:r>
      <w:r w:rsidR="00E16894">
        <w:rPr>
          <w:rFonts w:cs="Arial"/>
        </w:rPr>
        <w:t>ly</w:t>
      </w:r>
      <w:r w:rsidRPr="00513A00">
        <w:rPr>
          <w:rFonts w:cs="Arial"/>
        </w:rPr>
        <w:t xml:space="preserve"> </w:t>
      </w:r>
      <w:r w:rsidR="00A737D1">
        <w:rPr>
          <w:rFonts w:cs="Arial"/>
        </w:rPr>
        <w:t>impact</w:t>
      </w:r>
      <w:r w:rsidR="00A737D1" w:rsidRPr="00513A00">
        <w:rPr>
          <w:rFonts w:cs="Arial"/>
        </w:rPr>
        <w:t xml:space="preserve"> </w:t>
      </w:r>
      <w:r w:rsidRPr="00513A00">
        <w:rPr>
          <w:rFonts w:cs="Arial"/>
        </w:rPr>
        <w:t>travel times between jobs, so locating the closest vehicle to the job is essential to providing a timely service. Jobs are spread more thinly amongst WATs in Sydney compared to other parts of the state, however ‘black spots’ can still develop where it is difficult to get a WAT. Finally, fuel costs represent a significant cost to WATs especially in Sydney, so minimisation of dead running time through the efficient allocation of jobs to the nearest suitable vehicle is important to the financial viability of WATs.</w:t>
      </w:r>
    </w:p>
    <w:p w14:paraId="18ABBFB3" w14:textId="77777777" w:rsidR="00D07D10" w:rsidRPr="00513A00" w:rsidRDefault="00D07D10" w:rsidP="0029095C">
      <w:pPr>
        <w:rPr>
          <w:rFonts w:cs="Arial"/>
        </w:rPr>
      </w:pPr>
      <w:r w:rsidRPr="00513A00">
        <w:rPr>
          <w:rFonts w:cs="Arial"/>
        </w:rPr>
        <w:t xml:space="preserve">Disability stakeholders have suggested that the </w:t>
      </w:r>
      <w:r w:rsidR="0068079E">
        <w:rPr>
          <w:rFonts w:cs="Arial"/>
        </w:rPr>
        <w:t xml:space="preserve">CBS </w:t>
      </w:r>
      <w:r w:rsidRPr="00513A00">
        <w:rPr>
          <w:rFonts w:cs="Arial"/>
        </w:rPr>
        <w:t xml:space="preserve">be used to improve the level of WAT service, including by: </w:t>
      </w:r>
    </w:p>
    <w:p w14:paraId="0FE60501" w14:textId="77777777" w:rsidR="00D07D10" w:rsidRPr="00513A00" w:rsidRDefault="00D07D10" w:rsidP="0029095C">
      <w:pPr>
        <w:pStyle w:val="ListBullet"/>
        <w:numPr>
          <w:ilvl w:val="0"/>
          <w:numId w:val="39"/>
        </w:numPr>
        <w:tabs>
          <w:tab w:val="clear" w:pos="851"/>
        </w:tabs>
        <w:spacing w:before="0" w:after="200" w:line="276" w:lineRule="auto"/>
        <w:contextualSpacing/>
        <w:rPr>
          <w:rFonts w:cs="Arial"/>
        </w:rPr>
      </w:pPr>
      <w:r w:rsidRPr="00513A00">
        <w:rPr>
          <w:rFonts w:cs="Arial"/>
        </w:rPr>
        <w:t>Building in incentives for drivers and providing preferential allocation to those drivers who meet certain minimum criteria for accessibility;</w:t>
      </w:r>
    </w:p>
    <w:p w14:paraId="065ABC14" w14:textId="77777777" w:rsidR="00D07D10" w:rsidRPr="00513A00" w:rsidRDefault="00D07D10" w:rsidP="0029095C">
      <w:pPr>
        <w:pStyle w:val="ListBullet"/>
        <w:numPr>
          <w:ilvl w:val="0"/>
          <w:numId w:val="39"/>
        </w:numPr>
        <w:tabs>
          <w:tab w:val="clear" w:pos="851"/>
        </w:tabs>
        <w:spacing w:before="0" w:after="200" w:line="276" w:lineRule="auto"/>
        <w:contextualSpacing/>
        <w:rPr>
          <w:rFonts w:cs="Arial"/>
        </w:rPr>
      </w:pPr>
      <w:r w:rsidRPr="00513A00">
        <w:rPr>
          <w:rFonts w:cs="Arial"/>
        </w:rPr>
        <w:t>Incorporating disability a</w:t>
      </w:r>
      <w:r>
        <w:rPr>
          <w:rFonts w:cs="Arial"/>
        </w:rPr>
        <w:t xml:space="preserve">wareness training requirements </w:t>
      </w:r>
      <w:r w:rsidRPr="00513A00">
        <w:rPr>
          <w:rFonts w:cs="Arial"/>
        </w:rPr>
        <w:t>f</w:t>
      </w:r>
      <w:r>
        <w:rPr>
          <w:rFonts w:cs="Arial"/>
        </w:rPr>
        <w:t>or</w:t>
      </w:r>
      <w:r w:rsidRPr="00513A00">
        <w:rPr>
          <w:rFonts w:cs="Arial"/>
        </w:rPr>
        <w:t xml:space="preserve"> drivers; and</w:t>
      </w:r>
    </w:p>
    <w:p w14:paraId="61EDEE08" w14:textId="77777777" w:rsidR="00D07D10" w:rsidRDefault="00D07D10" w:rsidP="0029095C">
      <w:pPr>
        <w:pStyle w:val="ListBullet"/>
        <w:numPr>
          <w:ilvl w:val="0"/>
          <w:numId w:val="39"/>
        </w:numPr>
        <w:tabs>
          <w:tab w:val="clear" w:pos="851"/>
        </w:tabs>
        <w:spacing w:before="0" w:after="200" w:line="276" w:lineRule="auto"/>
        <w:contextualSpacing/>
        <w:rPr>
          <w:rFonts w:cs="Arial"/>
        </w:rPr>
      </w:pPr>
      <w:r w:rsidRPr="00513A00">
        <w:rPr>
          <w:rFonts w:cs="Arial"/>
        </w:rPr>
        <w:t>Offering discounted or set fares for regular customers.</w:t>
      </w:r>
    </w:p>
    <w:p w14:paraId="7FD18D88" w14:textId="77777777" w:rsidR="009E3EDD" w:rsidRPr="009E3EDD" w:rsidRDefault="009E3EDD" w:rsidP="009E3EDD">
      <w:pPr>
        <w:rPr>
          <w:sz w:val="23"/>
          <w:szCs w:val="23"/>
        </w:rPr>
      </w:pPr>
      <w:r w:rsidRPr="003C0C61">
        <w:t xml:space="preserve">Submissions included discussions of how a CBS may operate in a provider neutral environment, particularly where different service providers are offering different pricing. NCOSS suggested that the </w:t>
      </w:r>
      <w:r w:rsidRPr="009E3EDD">
        <w:rPr>
          <w:szCs w:val="22"/>
        </w:rPr>
        <w:t>cheapest option be prioritised as a ‘default’ with other options being presented as a ‘choice’. The Spinal Cord Injuries Association noted that passenger</w:t>
      </w:r>
      <w:r w:rsidR="004D4506">
        <w:rPr>
          <w:szCs w:val="22"/>
        </w:rPr>
        <w:t>s</w:t>
      </w:r>
      <w:r w:rsidRPr="009E3EDD">
        <w:rPr>
          <w:szCs w:val="22"/>
        </w:rPr>
        <w:t xml:space="preserve"> would need to be informed of the type of vehicle, fare structure and estimated time of arrival before accepting the booking.</w:t>
      </w:r>
      <w:r w:rsidRPr="009E3EDD">
        <w:rPr>
          <w:sz w:val="23"/>
          <w:szCs w:val="23"/>
        </w:rPr>
        <w:t xml:space="preserve"> </w:t>
      </w:r>
    </w:p>
    <w:p w14:paraId="2DF7C83F" w14:textId="77777777" w:rsidR="00295EA8" w:rsidRPr="00840C10" w:rsidRDefault="00295EA8" w:rsidP="00840C10">
      <w:pPr>
        <w:tabs>
          <w:tab w:val="clear" w:pos="851"/>
          <w:tab w:val="left" w:pos="709"/>
        </w:tabs>
        <w:ind w:left="0"/>
        <w:rPr>
          <w:b/>
          <w:color w:val="1F497D" w:themeColor="text2"/>
        </w:rPr>
      </w:pPr>
      <w:r>
        <w:rPr>
          <w:b/>
          <w:color w:val="1F497D" w:themeColor="text2"/>
        </w:rPr>
        <w:tab/>
      </w:r>
      <w:r w:rsidRPr="00840C10">
        <w:rPr>
          <w:b/>
          <w:color w:val="1F497D" w:themeColor="text2"/>
        </w:rPr>
        <w:t>Comment:</w:t>
      </w:r>
    </w:p>
    <w:p w14:paraId="15C9DE46" w14:textId="77777777" w:rsidR="00D07D10" w:rsidRDefault="00D07D10" w:rsidP="0029095C">
      <w:pPr>
        <w:ind w:left="720"/>
      </w:pPr>
      <w:r w:rsidRPr="003C0C61">
        <w:t xml:space="preserve">Customers have suggested a variety of ways in which the booking process can be made easier for people with disability. The most common suggestion was that the service should collect and store information about customers, so they did not have to repeat information every time they made a booking. </w:t>
      </w:r>
      <w:r w:rsidR="00786B12">
        <w:t xml:space="preserve">Interestingly, the current service provider already provides this option. </w:t>
      </w:r>
      <w:r w:rsidRPr="003C0C61">
        <w:t xml:space="preserve">Other suggestions included </w:t>
      </w:r>
      <w:r w:rsidR="0068079E">
        <w:t xml:space="preserve">drivers </w:t>
      </w:r>
      <w:r w:rsidRPr="003C0C61">
        <w:t xml:space="preserve">calling customers to advise of estimated arrival times and on approach. </w:t>
      </w:r>
    </w:p>
    <w:p w14:paraId="28393619" w14:textId="362497DA" w:rsidR="006C2135" w:rsidRDefault="006C2135" w:rsidP="0029095C">
      <w:pPr>
        <w:ind w:left="720"/>
      </w:pPr>
      <w:r>
        <w:t xml:space="preserve">Currently, the centralised booking service relies on all </w:t>
      </w:r>
      <w:r w:rsidR="00406589">
        <w:t>WATs</w:t>
      </w:r>
      <w:r>
        <w:t xml:space="preserve"> using the same dispatch software to enable the service to efficiently allocate jobs.</w:t>
      </w:r>
      <w:r w:rsidR="003C0F06">
        <w:t xml:space="preserve"> This imposes a cost on WAT operators, although there are no other fees associated with affiliating with the service.</w:t>
      </w:r>
      <w:r>
        <w:t xml:space="preserve"> It is unclear at this stage how a CBS might operate in a provider neutral environment</w:t>
      </w:r>
      <w:r w:rsidR="003C0F06">
        <w:t>, particularly where different service providers offer different fee structures. However, it is desirable that if the requirement to affiliate with the service exists, it should apply to all WAVs operating in Sydney, consistent with the principle of the level playing field.</w:t>
      </w:r>
    </w:p>
    <w:p w14:paraId="1DB4905F" w14:textId="77777777" w:rsidR="000F59AC" w:rsidRPr="00BF7C41" w:rsidRDefault="000F59AC" w:rsidP="0029095C">
      <w:pPr>
        <w:ind w:left="720"/>
      </w:pPr>
    </w:p>
    <w:p w14:paraId="2B4686C3" w14:textId="77777777" w:rsidR="00EE3CBD" w:rsidRPr="00EE3CBD" w:rsidRDefault="00EE3CBD" w:rsidP="00EE3CBD">
      <w:pPr>
        <w:rPr>
          <w:b/>
          <w:color w:val="1F497D" w:themeColor="text2"/>
        </w:rPr>
      </w:pPr>
      <w:r w:rsidRPr="00EE3CBD">
        <w:rPr>
          <w:b/>
          <w:color w:val="1F497D" w:themeColor="text2"/>
        </w:rPr>
        <w:t>Finding:</w:t>
      </w:r>
    </w:p>
    <w:p w14:paraId="3D96A2D0" w14:textId="14BE9DF8" w:rsidR="00384625" w:rsidRDefault="00FD5C1D" w:rsidP="009835DE">
      <w:pPr>
        <w:ind w:left="720"/>
      </w:pPr>
      <w:r>
        <w:t xml:space="preserve">The CBS is viewed by the customers and the taxi industry as an essential service that ensures that WAT bookings are efficiently allocated amongst Sydney’s WAT fleet. </w:t>
      </w:r>
    </w:p>
    <w:p w14:paraId="5FF41B94" w14:textId="77777777" w:rsidR="00ED70F6" w:rsidRDefault="00ED70F6" w:rsidP="00ED70F6">
      <w:pPr>
        <w:pStyle w:val="Heading1"/>
      </w:pPr>
      <w:bookmarkStart w:id="22" w:name="_Toc21956267"/>
      <w:r>
        <w:lastRenderedPageBreak/>
        <w:t>Summary of Findings</w:t>
      </w:r>
      <w:bookmarkEnd w:id="22"/>
      <w:r>
        <w:t xml:space="preserve"> </w:t>
      </w:r>
    </w:p>
    <w:p w14:paraId="5FE12E90" w14:textId="58E3A5D4" w:rsidR="00FD7ACB" w:rsidRDefault="00594CF4" w:rsidP="00AF0616">
      <w:pPr>
        <w:rPr>
          <w:rFonts w:cs="Arial"/>
        </w:rPr>
      </w:pPr>
      <w:r>
        <w:rPr>
          <w:rFonts w:cs="Arial"/>
        </w:rPr>
        <w:t>Consultation</w:t>
      </w:r>
      <w:r w:rsidR="00172364">
        <w:rPr>
          <w:rFonts w:cs="Arial"/>
        </w:rPr>
        <w:t>s and investigations conducted during the</w:t>
      </w:r>
      <w:r>
        <w:rPr>
          <w:rFonts w:cs="Arial"/>
        </w:rPr>
        <w:t xml:space="preserve"> </w:t>
      </w:r>
      <w:r w:rsidR="00400A80">
        <w:rPr>
          <w:rFonts w:cs="Arial"/>
        </w:rPr>
        <w:t xml:space="preserve">review </w:t>
      </w:r>
      <w:r w:rsidR="00172364">
        <w:rPr>
          <w:rFonts w:cs="Arial"/>
        </w:rPr>
        <w:t>confirmed the importance of subsidised travel for people with disability and established some broad parameters</w:t>
      </w:r>
      <w:r w:rsidR="00AF0616">
        <w:rPr>
          <w:rFonts w:cs="Arial"/>
        </w:rPr>
        <w:t xml:space="preserve"> for a provider neutral scheme. Below is a summary of the key findings from the review that have informed the proposed way forward by Transport for NSW:</w:t>
      </w:r>
    </w:p>
    <w:p w14:paraId="11468186" w14:textId="77777777" w:rsidR="00AF0616" w:rsidRDefault="00AF0616" w:rsidP="00AF0616">
      <w:pPr>
        <w:rPr>
          <w:rFonts w:cs="Arial"/>
        </w:rPr>
      </w:pPr>
    </w:p>
    <w:p w14:paraId="5CC42C64" w14:textId="77777777" w:rsidR="00FD7ACB" w:rsidRDefault="00FD7ACB" w:rsidP="00672D40">
      <w:pPr>
        <w:pStyle w:val="ListParagraph"/>
        <w:numPr>
          <w:ilvl w:val="0"/>
          <w:numId w:val="49"/>
        </w:numPr>
      </w:pPr>
      <w:r>
        <w:t xml:space="preserve">The scheme provides a valuable support for people with severe and permanent disability, in some cases enabling the use of public transport through first mile/last mile journeys, and in other cases providing an alternative where public transport use is not possible.   </w:t>
      </w:r>
    </w:p>
    <w:p w14:paraId="6CE7EF9D" w14:textId="77777777" w:rsidR="00FD7ACB" w:rsidRDefault="00FD7ACB" w:rsidP="00672D40">
      <w:pPr>
        <w:pStyle w:val="ListParagraph"/>
        <w:numPr>
          <w:ilvl w:val="0"/>
          <w:numId w:val="49"/>
        </w:numPr>
      </w:pPr>
      <w:r>
        <w:t>Increased choice for customers, through a provider neutral TTSS, in conjunction with the availability of NDIS and aged care funding, could deliver improvements in cost and quality of services. Improved capacity for data capture will enable changes to be monitored.</w:t>
      </w:r>
    </w:p>
    <w:p w14:paraId="18E03A78" w14:textId="327B743D" w:rsidR="00FD7ACB" w:rsidRDefault="00FD7ACB" w:rsidP="00672D40">
      <w:pPr>
        <w:pStyle w:val="ListParagraph"/>
        <w:numPr>
          <w:ilvl w:val="0"/>
          <w:numId w:val="49"/>
        </w:numPr>
      </w:pPr>
      <w:r>
        <w:t xml:space="preserve">There is broad support for a provider neutral subsidy scheme. The </w:t>
      </w:r>
      <w:r w:rsidRPr="00672D40">
        <w:rPr>
          <w:i/>
        </w:rPr>
        <w:t>Point to Point Transport Act</w:t>
      </w:r>
      <w:r>
        <w:t xml:space="preserve"> and Regulation together with DSAPT provide the safety and accessibility standards that all point to point transport providers are required to meet. </w:t>
      </w:r>
    </w:p>
    <w:p w14:paraId="6D2FDEBD" w14:textId="77777777" w:rsidR="00FD7ACB" w:rsidRDefault="00FD7ACB" w:rsidP="00672D40">
      <w:pPr>
        <w:pStyle w:val="ListParagraph"/>
        <w:numPr>
          <w:ilvl w:val="0"/>
          <w:numId w:val="49"/>
        </w:numPr>
      </w:pPr>
      <w:r>
        <w:t>It is recommended the Government impose a maximum fare (which may be the existing maximum fare or other fare specific to TTSS) for all journeys to which the subsidy applies and that service providers be required to verify that the fares they charge do not exceed that maximum.</w:t>
      </w:r>
    </w:p>
    <w:p w14:paraId="4D373ADC" w14:textId="77777777" w:rsidR="003C7C15" w:rsidRDefault="00FD7ACB" w:rsidP="00672D40">
      <w:pPr>
        <w:pStyle w:val="ListParagraph"/>
        <w:numPr>
          <w:ilvl w:val="0"/>
          <w:numId w:val="49"/>
        </w:numPr>
      </w:pPr>
      <w:r>
        <w:t xml:space="preserve">The free WAT licence is a valuable incentive to ensuring the supply of WATs in NSW; and there is capacity within the existing fleet to complete additional WAT jobs. </w:t>
      </w:r>
    </w:p>
    <w:p w14:paraId="5AD9E0FD" w14:textId="1C162678" w:rsidR="003C7C15" w:rsidRPr="003C7C15" w:rsidRDefault="00FD7ACB" w:rsidP="00672D40">
      <w:pPr>
        <w:pStyle w:val="ListParagraph"/>
        <w:numPr>
          <w:ilvl w:val="0"/>
          <w:numId w:val="49"/>
        </w:numPr>
      </w:pPr>
      <w:r w:rsidRPr="00672D40">
        <w:rPr>
          <w:rFonts w:cs="Arial"/>
        </w:rPr>
        <w:t xml:space="preserve">Along with free licences, the loan scheme provides a valuable incentive in ensuring the supply of WATs in NSW. As the scheme is gradually extended beyond taxis, consideration will be given to extending the loan scheme to any service provider providing wheelchair accessible point to point </w:t>
      </w:r>
      <w:r w:rsidR="00C826F6" w:rsidRPr="00672D40">
        <w:rPr>
          <w:rFonts w:cs="Arial"/>
        </w:rPr>
        <w:t xml:space="preserve">transport </w:t>
      </w:r>
      <w:r w:rsidRPr="00672D40">
        <w:rPr>
          <w:rFonts w:cs="Arial"/>
        </w:rPr>
        <w:t xml:space="preserve">services. </w:t>
      </w:r>
    </w:p>
    <w:p w14:paraId="7399264B" w14:textId="77777777" w:rsidR="003C7C15" w:rsidRDefault="00FD7ACB" w:rsidP="00672D40">
      <w:pPr>
        <w:pStyle w:val="ListParagraph"/>
        <w:numPr>
          <w:ilvl w:val="0"/>
          <w:numId w:val="49"/>
        </w:numPr>
      </w:pPr>
      <w:r>
        <w:t xml:space="preserve">The WATDIS is a strong incentive to prioritise wheelchair jobs. As the scheme is extended beyond taxis, increased competition in the wheelchair accessible market may lead to improvements in customer service outcomes. </w:t>
      </w:r>
    </w:p>
    <w:p w14:paraId="555F0A06" w14:textId="77777777" w:rsidR="00FD7ACB" w:rsidRPr="003C0C61" w:rsidRDefault="00FD7ACB" w:rsidP="00672D40">
      <w:pPr>
        <w:pStyle w:val="ListParagraph"/>
        <w:numPr>
          <w:ilvl w:val="0"/>
          <w:numId w:val="49"/>
        </w:numPr>
      </w:pPr>
      <w:r>
        <w:t>The C</w:t>
      </w:r>
      <w:r w:rsidR="003C7C15">
        <w:t xml:space="preserve">entralised </w:t>
      </w:r>
      <w:r>
        <w:t>B</w:t>
      </w:r>
      <w:r w:rsidR="003C7C15">
        <w:t xml:space="preserve">ooking </w:t>
      </w:r>
      <w:r>
        <w:t>S</w:t>
      </w:r>
      <w:r w:rsidR="003C7C15">
        <w:t>ystem</w:t>
      </w:r>
      <w:r>
        <w:t xml:space="preserve"> is viewed by the customers and the taxi industry as an essential service that ensures that WAT bookings are efficiently allocated amongst Sydney’s WAT fleet. </w:t>
      </w:r>
    </w:p>
    <w:p w14:paraId="3A106EE8" w14:textId="77777777" w:rsidR="00FD7ACB" w:rsidRPr="00513A00" w:rsidRDefault="00FD7ACB" w:rsidP="00FD7ACB">
      <w:pPr>
        <w:rPr>
          <w:rFonts w:cs="Arial"/>
        </w:rPr>
      </w:pPr>
    </w:p>
    <w:p w14:paraId="237B953F" w14:textId="77777777" w:rsidR="00C543D0" w:rsidRDefault="00295EA8" w:rsidP="0029095C">
      <w:pPr>
        <w:pStyle w:val="Heading1"/>
      </w:pPr>
      <w:bookmarkStart w:id="23" w:name="_Toc21956268"/>
      <w:r>
        <w:lastRenderedPageBreak/>
        <w:t xml:space="preserve">The </w:t>
      </w:r>
      <w:r w:rsidR="00921C13">
        <w:t>Way Forward</w:t>
      </w:r>
      <w:bookmarkEnd w:id="23"/>
    </w:p>
    <w:p w14:paraId="571958FE" w14:textId="18CE8A7C" w:rsidR="00255226" w:rsidRDefault="00272E4A" w:rsidP="006A28D0">
      <w:pPr>
        <w:pStyle w:val="BodyText"/>
      </w:pPr>
      <w:r>
        <w:t>A</w:t>
      </w:r>
      <w:r w:rsidR="0072048A">
        <w:t xml:space="preserve"> provider neutral subsidy scheme for point to point </w:t>
      </w:r>
      <w:r w:rsidR="00C826F6">
        <w:t xml:space="preserve">transport </w:t>
      </w:r>
      <w:r w:rsidR="0072048A">
        <w:t>services has the potential to provide increased choice to</w:t>
      </w:r>
      <w:r w:rsidR="006A28D0">
        <w:t xml:space="preserve"> customers and</w:t>
      </w:r>
      <w:r w:rsidR="0072048A">
        <w:t xml:space="preserve"> drive customer service improvements</w:t>
      </w:r>
      <w:r w:rsidR="006A28D0">
        <w:t xml:space="preserve">. </w:t>
      </w:r>
      <w:r w:rsidR="00255226">
        <w:t>Feedback from people with disability has indicated that they support</w:t>
      </w:r>
      <w:r w:rsidR="00C151CC">
        <w:t xml:space="preserve"> a provider neutral subsidy scheme. </w:t>
      </w:r>
      <w:r>
        <w:t xml:space="preserve"> </w:t>
      </w:r>
      <w:r w:rsidR="00255226">
        <w:t xml:space="preserve">  </w:t>
      </w:r>
    </w:p>
    <w:p w14:paraId="0277F094" w14:textId="3B3C6CE2" w:rsidR="008814C7" w:rsidRDefault="00243A54" w:rsidP="006A28D0">
      <w:pPr>
        <w:pStyle w:val="BodyText"/>
      </w:pPr>
      <w:r>
        <w:t xml:space="preserve">While noting that there are accessibility concerns with the existing voucher system, </w:t>
      </w:r>
      <w:r w:rsidR="00BC1BC7">
        <w:t>disability stakeholders ha</w:t>
      </w:r>
      <w:r w:rsidR="003A3BC6">
        <w:t>ve</w:t>
      </w:r>
      <w:r>
        <w:t xml:space="preserve"> </w:t>
      </w:r>
      <w:r w:rsidR="007636DF">
        <w:t xml:space="preserve">also </w:t>
      </w:r>
      <w:r w:rsidR="00BC1BC7">
        <w:t xml:space="preserve">noted that many TTSS </w:t>
      </w:r>
      <w:r>
        <w:t>participant</w:t>
      </w:r>
      <w:r w:rsidR="00BC1BC7">
        <w:t>s do not have access to digital technology.</w:t>
      </w:r>
      <w:r>
        <w:t xml:space="preserve"> This means that services which rely on digital applications accessed through internet enabled devices will only benefit a minority of TTSS participants. </w:t>
      </w:r>
      <w:r w:rsidR="003A3BC6">
        <w:t>I</w:t>
      </w:r>
      <w:r w:rsidR="004D4506">
        <w:t>n</w:t>
      </w:r>
      <w:r w:rsidR="003A3BC6">
        <w:t xml:space="preserve"> transitioning to a provider-neutral scheme, it is critical to ensure that participants without access to digital technology are not left behind.</w:t>
      </w:r>
    </w:p>
    <w:p w14:paraId="2F9D538C" w14:textId="1400D9F7" w:rsidR="007D3F35" w:rsidRDefault="008C0395" w:rsidP="003A3BC6">
      <w:pPr>
        <w:pStyle w:val="BodyText"/>
      </w:pPr>
      <w:r>
        <w:t>Transport for New South Wales has established a project to define and implement alternative ways to administer the scheme to achieve improvements from both a customer, payments and stakeholder perspective.  Ultimately we expect this will achieve a holistic strategy for the scheme which achieves the key recommendations in this report and makes it easier for our diverse set of customers to access transport options.  As improvements are implemented customers will have the opportunity to contribute as part of a co-design process.</w:t>
      </w:r>
    </w:p>
    <w:p w14:paraId="419ADC4E" w14:textId="602D95C3" w:rsidR="003A3BC6" w:rsidRDefault="003A3BC6" w:rsidP="00190ABE">
      <w:pPr>
        <w:pStyle w:val="BodyText"/>
      </w:pPr>
      <w:r>
        <w:t xml:space="preserve">In the short term, to facilitate greater choice for TTSS participants, TfNSW will </w:t>
      </w:r>
      <w:r w:rsidR="00116088">
        <w:t xml:space="preserve">investigate opportunities to </w:t>
      </w:r>
      <w:r>
        <w:t xml:space="preserve">partner with </w:t>
      </w:r>
      <w:r w:rsidR="00A6173E">
        <w:t>BSP</w:t>
      </w:r>
      <w:r>
        <w:t xml:space="preserve">s that offer integrated booking and payment applications, to trial the use of the subsidy on those services, including non-taxi services. </w:t>
      </w:r>
      <w:r w:rsidR="003C0F06">
        <w:t xml:space="preserve">These opportunities will be extended on the condition that strict controls are met, including having in place satisfactory fraud mitigation measures. </w:t>
      </w:r>
      <w:r w:rsidR="007636DF">
        <w:t>This will assist in gaining a better understanding of the issues that will need to be considered in moving to a provider neutral scheme</w:t>
      </w:r>
      <w:r w:rsidR="00756464">
        <w:t>, including the impact on the availability of services in regional areas and particularly the viability of wheelchair accessible services</w:t>
      </w:r>
      <w:r w:rsidR="007636DF">
        <w:t>.</w:t>
      </w:r>
      <w:r w:rsidR="00D621E8">
        <w:t xml:space="preserve"> As far as possible TfNSW will ensure that its approach to transport in regional areas is informed by a holistic consideration of needs and </w:t>
      </w:r>
      <w:r w:rsidR="00646234">
        <w:t>the most effective way to meet them</w:t>
      </w:r>
      <w:r w:rsidR="00D621E8">
        <w:t xml:space="preserve"> rather than an ad hoc approach. An assessment of existing transport services including taxis, community transport, buses, and on demand transport will form part of the trial design and evaluation.  </w:t>
      </w:r>
      <w:r w:rsidR="001C454C">
        <w:t xml:space="preserve">  </w:t>
      </w:r>
    </w:p>
    <w:p w14:paraId="6D0269E2" w14:textId="1606C5D1" w:rsidR="003A3BC6" w:rsidRDefault="008C0395" w:rsidP="00190ABE">
      <w:pPr>
        <w:pStyle w:val="BodyText"/>
      </w:pPr>
      <w:r>
        <w:t>TfNSW will work towards developing a new system to replace the current paper system, and gradually open up the scheme to all point to point transport providers.</w:t>
      </w:r>
      <w:r w:rsidR="00D434A7">
        <w:t xml:space="preserve"> Recognising that a digital-only solution won’t support all customers’ needs, this will be taken into account in the solution design. </w:t>
      </w:r>
      <w:r>
        <w:t>In order to ensure that providers are operating on a level playing field, and to protect customers, all trips will be subject to a maximum regulated fare. Implementation will be phased, with M40 (non-wheelchair) participants to access the subsidy on non-taxi services before M50 (wheelchair) participants. This will assist in ensuring that TfNSW can adequately monitor and manage the supply of wheelchair accessible services.</w:t>
      </w:r>
    </w:p>
    <w:p w14:paraId="3396A6AA" w14:textId="170FCEC2" w:rsidR="009835DE" w:rsidRPr="00F809D8" w:rsidRDefault="009835DE" w:rsidP="009835DE">
      <w:r>
        <w:rPr>
          <w:rFonts w:cs="Arial"/>
        </w:rPr>
        <w:t>A priority is to maintain existing levels of wheelchair accessible service, both in terms of the supply of vehicles and their availability to complete wheelchair jobs. Levels of service will be monitored through analysis of the size of the WAT fleet and the number of TTSS jobs completed. Administrative upgrades to the TTSS may enable better monitoring of the geographical distribution of wheelchair accessible services and identify areas with unmet need. This m</w:t>
      </w:r>
      <w:r>
        <w:t xml:space="preserve">onitoring </w:t>
      </w:r>
      <w:r w:rsidRPr="00F809D8">
        <w:t>will assist in determining if it is possible to introduce</w:t>
      </w:r>
      <w:r>
        <w:t xml:space="preserve"> targeted</w:t>
      </w:r>
      <w:r w:rsidRPr="00F809D8">
        <w:t xml:space="preserve"> incentives </w:t>
      </w:r>
      <w:r>
        <w:t xml:space="preserve">to meet unmet demand and </w:t>
      </w:r>
      <w:r>
        <w:rPr>
          <w:rFonts w:cs="Arial"/>
        </w:rPr>
        <w:t>ensure access to WAV services in regional and outer metropolitan areas.</w:t>
      </w:r>
    </w:p>
    <w:p w14:paraId="35849B9B" w14:textId="77777777" w:rsidR="009835DE" w:rsidRDefault="009835DE" w:rsidP="009835DE">
      <w:r>
        <w:t xml:space="preserve">Transport for NSW will investigate whether it is possible to incentivise the transportation of mobility devices in a WAV. Consideration will be given to whether </w:t>
      </w:r>
      <w:r>
        <w:lastRenderedPageBreak/>
        <w:t>criteria can be developed which identify where a user requires a mobility device and whether those mobility devices can be adequately restrained within a WAV.</w:t>
      </w:r>
    </w:p>
    <w:p w14:paraId="3B52469A" w14:textId="2B2E8AF1" w:rsidR="009835DE" w:rsidRDefault="009835DE" w:rsidP="009835DE">
      <w:r>
        <w:t xml:space="preserve">As NSW </w:t>
      </w:r>
      <w:r w:rsidR="00756464">
        <w:t xml:space="preserve">investigates options to </w:t>
      </w:r>
      <w:r>
        <w:t xml:space="preserve">transition to a provider neutral system, further consideration could be given to how funding could be made available to encourage entry into the market for both taxi and non-taxi WAVs.  </w:t>
      </w:r>
    </w:p>
    <w:p w14:paraId="10A5033B" w14:textId="77777777" w:rsidR="009F1F9B" w:rsidRDefault="00AC0FCD" w:rsidP="00190ABE">
      <w:pPr>
        <w:pStyle w:val="BodyText"/>
      </w:pPr>
      <w:r>
        <w:t>In the interim, the government will continue to fund the Centralised Booking Service for WATs in Sydney and provide interest free loans through the WAT interest-free loan scheme.</w:t>
      </w:r>
    </w:p>
    <w:p w14:paraId="2579B94A" w14:textId="77777777" w:rsidR="00D07D10" w:rsidRDefault="00D07D10" w:rsidP="0029095C">
      <w:pPr>
        <w:pStyle w:val="BodyText"/>
      </w:pPr>
      <w:r>
        <w:t xml:space="preserve">The continued funding and </w:t>
      </w:r>
      <w:r w:rsidR="00921C13">
        <w:t xml:space="preserve">proposed </w:t>
      </w:r>
      <w:r>
        <w:t xml:space="preserve">digitisation of the TTSS </w:t>
      </w:r>
      <w:r w:rsidR="007636DF">
        <w:t xml:space="preserve">and other incentives to support wheelchair accessible transport </w:t>
      </w:r>
      <w:r>
        <w:t>supports key outcomes of the</w:t>
      </w:r>
      <w:r w:rsidR="00371285">
        <w:t xml:space="preserve"> Future Transport 2056 Strategy</w:t>
      </w:r>
      <w:r>
        <w:t xml:space="preserve">: </w:t>
      </w:r>
    </w:p>
    <w:p w14:paraId="49C610F7" w14:textId="77777777" w:rsidR="00C24988" w:rsidRDefault="00D07D10" w:rsidP="00840C10">
      <w:pPr>
        <w:pStyle w:val="BodyText"/>
        <w:ind w:left="1440"/>
      </w:pPr>
      <w:r w:rsidRPr="00D07D10">
        <w:rPr>
          <w:b/>
        </w:rPr>
        <w:t>Accessible Services:</w:t>
      </w:r>
      <w:r w:rsidR="00371285" w:rsidRPr="00D07D10">
        <w:rPr>
          <w:b/>
        </w:rPr>
        <w:t xml:space="preserve"> </w:t>
      </w:r>
      <w:r>
        <w:t>Transport enables everyone to get the most out of life, wherever they live and whatever their age, ability or personal circumstances.</w:t>
      </w:r>
    </w:p>
    <w:p w14:paraId="31ECA704" w14:textId="3802E14D" w:rsidR="00260DA0" w:rsidRPr="00497004" w:rsidRDefault="00D07D10" w:rsidP="00BF3205">
      <w:pPr>
        <w:pStyle w:val="BodyText"/>
        <w:ind w:left="1440"/>
      </w:pPr>
      <w:r>
        <w:rPr>
          <w:b/>
        </w:rPr>
        <w:t xml:space="preserve">Customer Focussed: </w:t>
      </w:r>
      <w:r>
        <w:t>Every customer experience will be seamless, interactive and personalised by technology and big data.</w:t>
      </w:r>
    </w:p>
    <w:sectPr w:rsidR="00260DA0" w:rsidRPr="00497004" w:rsidSect="00094803">
      <w:footerReference w:type="default" r:id="rId10"/>
      <w:headerReference w:type="first" r:id="rId11"/>
      <w:footerReference w:type="first" r:id="rId12"/>
      <w:pgSz w:w="11906" w:h="16838" w:code="9"/>
      <w:pgMar w:top="1521" w:right="1274" w:bottom="1134" w:left="1418" w:header="568" w:footer="4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3786F" w14:textId="77777777" w:rsidR="005E37FD" w:rsidRDefault="005E37FD">
      <w:pPr>
        <w:spacing w:before="0" w:after="0"/>
      </w:pPr>
      <w:r>
        <w:separator/>
      </w:r>
    </w:p>
    <w:p w14:paraId="21CFF824" w14:textId="77777777" w:rsidR="005E37FD" w:rsidRDefault="005E37FD"/>
  </w:endnote>
  <w:endnote w:type="continuationSeparator" w:id="0">
    <w:p w14:paraId="438EB0BE" w14:textId="77777777" w:rsidR="005E37FD" w:rsidRDefault="005E37FD">
      <w:pPr>
        <w:spacing w:before="0" w:after="0"/>
      </w:pPr>
      <w:r>
        <w:continuationSeparator/>
      </w:r>
    </w:p>
    <w:p w14:paraId="541F4496" w14:textId="77777777" w:rsidR="005E37FD" w:rsidRDefault="005E37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charset w:val="00"/>
    <w:family w:val="auto"/>
    <w:pitch w:val="variable"/>
    <w:sig w:usb0="20000287" w:usb1="00000001"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20384" w14:textId="346DEB25" w:rsidR="0069231A" w:rsidRPr="00F5289B" w:rsidRDefault="0069231A" w:rsidP="00B845E7">
    <w:pPr>
      <w:pStyle w:val="Footer"/>
      <w:tabs>
        <w:tab w:val="clear" w:pos="4678"/>
        <w:tab w:val="clear" w:pos="9356"/>
        <w:tab w:val="center" w:pos="4536"/>
        <w:tab w:val="left" w:pos="5517"/>
        <w:tab w:val="right" w:pos="9072"/>
      </w:tabs>
    </w:pPr>
    <w:r>
      <w:t xml:space="preserve">Transport Disability Incentives and Subsidies Review Findings– </w:t>
    </w:r>
    <w:r w:rsidR="00F73B46">
      <w:t>February</w:t>
    </w:r>
    <w:r w:rsidR="005B5E5B">
      <w:t xml:space="preserve"> 2020</w:t>
    </w:r>
    <w:r w:rsidRPr="00277F1E">
      <w:tab/>
    </w:r>
    <w:r>
      <w:tab/>
    </w:r>
    <w:r>
      <w:tab/>
    </w:r>
    <w:r w:rsidRPr="006E650E">
      <w:rPr>
        <w:rStyle w:val="NSWBlue"/>
        <w:b/>
        <w:bCs/>
      </w:rPr>
      <w:fldChar w:fldCharType="begin"/>
    </w:r>
    <w:r w:rsidRPr="006E650E">
      <w:rPr>
        <w:rStyle w:val="NSWBlue"/>
        <w:b/>
        <w:bCs/>
      </w:rPr>
      <w:instrText xml:space="preserve"> PAGE </w:instrText>
    </w:r>
    <w:r w:rsidRPr="006E650E">
      <w:rPr>
        <w:rStyle w:val="NSWBlue"/>
        <w:b/>
        <w:bCs/>
      </w:rPr>
      <w:fldChar w:fldCharType="separate"/>
    </w:r>
    <w:r w:rsidR="00C777CB">
      <w:rPr>
        <w:rStyle w:val="NSWBlue"/>
        <w:b/>
        <w:bCs/>
        <w:noProof/>
      </w:rPr>
      <w:t>20</w:t>
    </w:r>
    <w:r w:rsidRPr="006E650E">
      <w:rPr>
        <w:rStyle w:val="NSWBlue"/>
        <w:b/>
        <w:bCs/>
      </w:rPr>
      <w:fldChar w:fldCharType="end"/>
    </w:r>
  </w:p>
  <w:p w14:paraId="5C7DB079" w14:textId="77777777" w:rsidR="0069231A" w:rsidRDefault="0069231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47778" w14:textId="65E631CC" w:rsidR="0069231A" w:rsidRPr="00417FCA" w:rsidRDefault="00F73B46" w:rsidP="009F4085">
    <w:pPr>
      <w:pStyle w:val="Footer"/>
      <w:tabs>
        <w:tab w:val="clear" w:pos="851"/>
        <w:tab w:val="left" w:pos="0"/>
      </w:tabs>
      <w:ind w:left="0"/>
      <w:rPr>
        <w:color w:val="152355"/>
        <w:sz w:val="20"/>
        <w:szCs w:val="20"/>
      </w:rPr>
    </w:pPr>
    <w:r>
      <w:rPr>
        <w:b/>
        <w:color w:val="152355"/>
        <w:sz w:val="20"/>
        <w:szCs w:val="20"/>
      </w:rPr>
      <w:t>February 2020</w:t>
    </w:r>
  </w:p>
  <w:p w14:paraId="12181A54" w14:textId="77777777" w:rsidR="0069231A" w:rsidRDefault="0069231A">
    <w:pPr>
      <w:pStyle w:val="Footer"/>
      <w:rPr>
        <w:sz w:val="20"/>
        <w:szCs w:val="20"/>
      </w:rPr>
    </w:pPr>
  </w:p>
  <w:p w14:paraId="41B6B2ED" w14:textId="77777777" w:rsidR="0069231A" w:rsidRDefault="0069231A">
    <w:pPr>
      <w:pStyle w:val="Footer"/>
      <w:rPr>
        <w:sz w:val="20"/>
        <w:szCs w:val="20"/>
      </w:rPr>
    </w:pPr>
  </w:p>
  <w:p w14:paraId="18FB0099" w14:textId="77777777" w:rsidR="0069231A" w:rsidRPr="00417FCA" w:rsidRDefault="0069231A">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4A948" w14:textId="77777777" w:rsidR="005E37FD" w:rsidRDefault="005E37FD">
      <w:pPr>
        <w:spacing w:before="0" w:after="0"/>
      </w:pPr>
      <w:r>
        <w:separator/>
      </w:r>
    </w:p>
    <w:p w14:paraId="7E3EEDA5" w14:textId="77777777" w:rsidR="005E37FD" w:rsidRDefault="005E37FD"/>
  </w:footnote>
  <w:footnote w:type="continuationSeparator" w:id="0">
    <w:p w14:paraId="75D2E612" w14:textId="77777777" w:rsidR="005E37FD" w:rsidRDefault="005E37FD">
      <w:pPr>
        <w:spacing w:before="0" w:after="0"/>
      </w:pPr>
      <w:r>
        <w:continuationSeparator/>
      </w:r>
    </w:p>
    <w:p w14:paraId="36D12671" w14:textId="77777777" w:rsidR="005E37FD" w:rsidRDefault="005E37FD"/>
  </w:footnote>
  <w:footnote w:id="1">
    <w:p w14:paraId="57DA4F90" w14:textId="77777777" w:rsidR="0069231A" w:rsidRPr="00B56F2F" w:rsidRDefault="0069231A">
      <w:pPr>
        <w:pStyle w:val="FootnoteText"/>
        <w:rPr>
          <w:rFonts w:ascii="Arial" w:hAnsi="Arial" w:cs="Arial"/>
        </w:rPr>
      </w:pPr>
      <w:r w:rsidRPr="00B56F2F">
        <w:rPr>
          <w:rStyle w:val="FootnoteReference"/>
          <w:rFonts w:ascii="Arial" w:hAnsi="Arial" w:cs="Arial"/>
        </w:rPr>
        <w:footnoteRef/>
      </w:r>
      <w:r w:rsidRPr="00B56F2F">
        <w:rPr>
          <w:rFonts w:ascii="Arial" w:hAnsi="Arial" w:cs="Arial"/>
        </w:rPr>
        <w:t xml:space="preserve"> Guide Dogs NSW Submission, p.5</w:t>
      </w:r>
    </w:p>
  </w:footnote>
  <w:footnote w:id="2">
    <w:p w14:paraId="6D2B3CA6" w14:textId="77777777" w:rsidR="0069231A" w:rsidRDefault="0069231A">
      <w:pPr>
        <w:pStyle w:val="FootnoteText"/>
      </w:pPr>
      <w:r>
        <w:rPr>
          <w:rStyle w:val="FootnoteReference"/>
        </w:rPr>
        <w:footnoteRef/>
      </w:r>
      <w:r>
        <w:t xml:space="preserve"> </w:t>
      </w:r>
      <w:r w:rsidRPr="00902A30">
        <w:rPr>
          <w:rFonts w:ascii="Arial" w:hAnsi="Arial" w:cs="Arial"/>
          <w:i/>
          <w:iCs/>
        </w:rPr>
        <w:t xml:space="preserve">Wheelchair Accessible Taxi Customer Research Report, </w:t>
      </w:r>
      <w:r w:rsidRPr="00902A30">
        <w:rPr>
          <w:rFonts w:ascii="Arial" w:hAnsi="Arial" w:cs="Arial"/>
        </w:rPr>
        <w:t>May 2013, Prepared for Transport for NSW by Stancombe Research and Planning</w:t>
      </w:r>
      <w:r>
        <w:t xml:space="preserve">  </w:t>
      </w:r>
    </w:p>
  </w:footnote>
  <w:footnote w:id="3">
    <w:p w14:paraId="2EC29761" w14:textId="77777777" w:rsidR="0069231A" w:rsidRPr="00B56F2F" w:rsidRDefault="0069231A">
      <w:pPr>
        <w:pStyle w:val="FootnoteText"/>
        <w:rPr>
          <w:rFonts w:ascii="Arial" w:hAnsi="Arial" w:cs="Arial"/>
        </w:rPr>
      </w:pPr>
      <w:r w:rsidRPr="00B56F2F">
        <w:rPr>
          <w:rStyle w:val="FootnoteReference"/>
          <w:rFonts w:ascii="Arial" w:hAnsi="Arial" w:cs="Arial"/>
        </w:rPr>
        <w:footnoteRef/>
      </w:r>
      <w:r w:rsidRPr="00B56F2F">
        <w:rPr>
          <w:rFonts w:ascii="Arial" w:hAnsi="Arial" w:cs="Arial"/>
        </w:rPr>
        <w:t xml:space="preserve"> </w:t>
      </w:r>
      <w:hyperlink r:id="rId1" w:history="1">
        <w:r w:rsidRPr="00B56F2F">
          <w:rPr>
            <w:rStyle w:val="Hyperlink"/>
            <w:rFonts w:cs="Arial"/>
            <w:sz w:val="20"/>
            <w:szCs w:val="20"/>
          </w:rPr>
          <w:t>https://www.ndis.gov.au/participants/creating-your-plan/plan-budget-and-rules/transport-funding</w:t>
        </w:r>
      </w:hyperlink>
      <w:r w:rsidRPr="00B56F2F">
        <w:rPr>
          <w:rFonts w:ascii="Arial" w:hAnsi="Arial" w:cs="Arial"/>
        </w:rPr>
        <w:t>, Accessed 27/05/2019</w:t>
      </w:r>
    </w:p>
  </w:footnote>
  <w:footnote w:id="4">
    <w:p w14:paraId="7A362D71" w14:textId="77777777" w:rsidR="0069231A" w:rsidRPr="00B56F2F" w:rsidRDefault="0069231A" w:rsidP="00CC2F89">
      <w:pPr>
        <w:pStyle w:val="FootnoteText"/>
        <w:rPr>
          <w:rFonts w:ascii="Arial" w:hAnsi="Arial" w:cs="Arial"/>
        </w:rPr>
      </w:pPr>
      <w:r w:rsidRPr="00B56F2F">
        <w:rPr>
          <w:rStyle w:val="FootnoteReference"/>
          <w:rFonts w:ascii="Arial" w:hAnsi="Arial" w:cs="Arial"/>
        </w:rPr>
        <w:footnoteRef/>
      </w:r>
      <w:r w:rsidRPr="00B56F2F">
        <w:rPr>
          <w:rFonts w:ascii="Arial" w:hAnsi="Arial" w:cs="Arial"/>
        </w:rPr>
        <w:t xml:space="preserve"> Spinal Cord Injuries Australia Submission, p.8</w:t>
      </w:r>
    </w:p>
  </w:footnote>
  <w:footnote w:id="5">
    <w:p w14:paraId="0B7A33A7" w14:textId="77777777" w:rsidR="0069231A" w:rsidRPr="00B56F2F" w:rsidRDefault="0069231A" w:rsidP="00CC2F89">
      <w:pPr>
        <w:pStyle w:val="FootnoteText"/>
        <w:rPr>
          <w:rFonts w:ascii="Arial" w:hAnsi="Arial" w:cs="Arial"/>
        </w:rPr>
      </w:pPr>
      <w:r w:rsidRPr="00B56F2F">
        <w:rPr>
          <w:rStyle w:val="FootnoteReference"/>
          <w:rFonts w:ascii="Arial" w:hAnsi="Arial" w:cs="Arial"/>
        </w:rPr>
        <w:footnoteRef/>
      </w:r>
      <w:r w:rsidRPr="00B56F2F">
        <w:rPr>
          <w:rFonts w:ascii="Arial" w:hAnsi="Arial" w:cs="Arial"/>
        </w:rPr>
        <w:t xml:space="preserve"> Vision Australia Submission, p.6</w:t>
      </w:r>
    </w:p>
  </w:footnote>
  <w:footnote w:id="6">
    <w:p w14:paraId="6A1C3AD9" w14:textId="12934E41" w:rsidR="0069231A" w:rsidRPr="00B56F2F" w:rsidRDefault="0069231A" w:rsidP="00CC2F89">
      <w:pPr>
        <w:pStyle w:val="FootnoteText"/>
        <w:rPr>
          <w:rFonts w:ascii="Arial" w:hAnsi="Arial" w:cs="Arial"/>
        </w:rPr>
      </w:pPr>
      <w:r w:rsidRPr="00B56F2F">
        <w:rPr>
          <w:rStyle w:val="FootnoteReference"/>
          <w:rFonts w:ascii="Arial" w:hAnsi="Arial" w:cs="Arial"/>
        </w:rPr>
        <w:footnoteRef/>
      </w:r>
      <w:r w:rsidR="00560E3B">
        <w:rPr>
          <w:rFonts w:ascii="Arial" w:hAnsi="Arial" w:cs="Arial"/>
        </w:rPr>
        <w:t xml:space="preserve"> People with D</w:t>
      </w:r>
      <w:r w:rsidRPr="00B56F2F">
        <w:rPr>
          <w:rFonts w:ascii="Arial" w:hAnsi="Arial" w:cs="Arial"/>
        </w:rPr>
        <w:t>isability Australia, p. 3</w:t>
      </w:r>
    </w:p>
  </w:footnote>
  <w:footnote w:id="7">
    <w:p w14:paraId="580A84FA" w14:textId="77777777" w:rsidR="0069231A" w:rsidRPr="00B56F2F" w:rsidRDefault="0069231A" w:rsidP="001B3DA8">
      <w:pPr>
        <w:pStyle w:val="FootnoteText"/>
        <w:rPr>
          <w:rFonts w:ascii="Arial" w:hAnsi="Arial" w:cs="Arial"/>
        </w:rPr>
      </w:pPr>
      <w:r w:rsidRPr="00B56F2F">
        <w:rPr>
          <w:rStyle w:val="FootnoteReference"/>
          <w:rFonts w:ascii="Arial" w:hAnsi="Arial" w:cs="Arial"/>
        </w:rPr>
        <w:footnoteRef/>
      </w:r>
      <w:r w:rsidRPr="00B56F2F">
        <w:rPr>
          <w:rFonts w:ascii="Arial" w:hAnsi="Arial" w:cs="Arial"/>
        </w:rPr>
        <w:t xml:space="preserve"> Element 3 and Element 4 of the competency unit TLIC2040 Provide wheelchair accessible taxi services to passengers with disabilities (Release 1) issued by the Commonwealth</w:t>
      </w:r>
    </w:p>
  </w:footnote>
  <w:footnote w:id="8">
    <w:p w14:paraId="269C451C" w14:textId="77777777" w:rsidR="0069231A" w:rsidRPr="00B56F2F" w:rsidRDefault="0069231A" w:rsidP="00CB3973">
      <w:pPr>
        <w:pStyle w:val="FootnoteText"/>
        <w:rPr>
          <w:rFonts w:ascii="Arial" w:hAnsi="Arial" w:cs="Arial"/>
        </w:rPr>
      </w:pPr>
      <w:r w:rsidRPr="00B56F2F">
        <w:rPr>
          <w:rStyle w:val="FootnoteReference"/>
          <w:rFonts w:ascii="Arial" w:hAnsi="Arial" w:cs="Arial"/>
        </w:rPr>
        <w:footnoteRef/>
      </w:r>
      <w:r w:rsidRPr="00B56F2F">
        <w:rPr>
          <w:rFonts w:ascii="Arial" w:hAnsi="Arial" w:cs="Arial"/>
        </w:rPr>
        <w:t xml:space="preserve"> Physical Disability Council</w:t>
      </w:r>
    </w:p>
  </w:footnote>
  <w:footnote w:id="9">
    <w:p w14:paraId="5414184A" w14:textId="77777777" w:rsidR="0069231A" w:rsidRPr="00B56F2F" w:rsidRDefault="0069231A" w:rsidP="00EF030E">
      <w:pPr>
        <w:pStyle w:val="FootnoteText"/>
        <w:rPr>
          <w:rFonts w:ascii="Arial" w:hAnsi="Arial" w:cs="Arial"/>
        </w:rPr>
      </w:pPr>
      <w:r w:rsidRPr="00B56F2F">
        <w:rPr>
          <w:rStyle w:val="FootnoteReference"/>
          <w:rFonts w:ascii="Arial" w:hAnsi="Arial" w:cs="Arial"/>
        </w:rPr>
        <w:footnoteRef/>
      </w:r>
      <w:r w:rsidRPr="00B56F2F">
        <w:rPr>
          <w:rFonts w:ascii="Arial" w:hAnsi="Arial" w:cs="Arial"/>
        </w:rPr>
        <w:t xml:space="preserve"> Blind Citizens Australia p.3, Vision Australia p.5, Guide Dogs p.5, People with Disability Australia p.4, Physical Disability Council p.3, </w:t>
      </w:r>
    </w:p>
  </w:footnote>
  <w:footnote w:id="10">
    <w:p w14:paraId="21F4B5E9" w14:textId="77777777" w:rsidR="0069231A" w:rsidRPr="00B56F2F" w:rsidRDefault="0069231A" w:rsidP="00EF030E">
      <w:pPr>
        <w:pStyle w:val="FootnoteText"/>
        <w:rPr>
          <w:rFonts w:ascii="Arial" w:hAnsi="Arial" w:cs="Arial"/>
        </w:rPr>
      </w:pPr>
      <w:r w:rsidRPr="00B56F2F">
        <w:rPr>
          <w:rStyle w:val="FootnoteReference"/>
          <w:rFonts w:ascii="Arial" w:hAnsi="Arial" w:cs="Arial"/>
        </w:rPr>
        <w:footnoteRef/>
      </w:r>
      <w:r w:rsidRPr="00B56F2F">
        <w:rPr>
          <w:rFonts w:ascii="Arial" w:hAnsi="Arial" w:cs="Arial"/>
        </w:rPr>
        <w:t xml:space="preserve"> People with Disability Australia p.4</w:t>
      </w:r>
    </w:p>
  </w:footnote>
  <w:footnote w:id="11">
    <w:p w14:paraId="43F37C1E" w14:textId="77777777" w:rsidR="0069231A" w:rsidRPr="00B56F2F" w:rsidRDefault="0069231A" w:rsidP="00EF030E">
      <w:pPr>
        <w:pStyle w:val="FootnoteText"/>
        <w:rPr>
          <w:rFonts w:ascii="Arial" w:hAnsi="Arial" w:cs="Arial"/>
        </w:rPr>
      </w:pPr>
      <w:r w:rsidRPr="00B56F2F">
        <w:rPr>
          <w:rStyle w:val="FootnoteReference"/>
          <w:rFonts w:ascii="Arial" w:hAnsi="Arial" w:cs="Arial"/>
        </w:rPr>
        <w:footnoteRef/>
      </w:r>
      <w:r w:rsidRPr="00B56F2F">
        <w:rPr>
          <w:rFonts w:ascii="Arial" w:hAnsi="Arial" w:cs="Arial"/>
        </w:rPr>
        <w:t xml:space="preserve"> Guide Dogs NSW submission, p.6, Vision Australia Submission, p.9, Meeting with Combined Pensioners and Superannuants Association (CPSA) held on 31 May 2017.</w:t>
      </w:r>
    </w:p>
  </w:footnote>
  <w:footnote w:id="12">
    <w:p w14:paraId="6EED67E2" w14:textId="77777777" w:rsidR="0069231A" w:rsidRPr="00B56F2F" w:rsidRDefault="0069231A" w:rsidP="00EF030E">
      <w:pPr>
        <w:pStyle w:val="FootnoteText"/>
      </w:pPr>
      <w:r w:rsidRPr="00B56F2F">
        <w:rPr>
          <w:rStyle w:val="FootnoteReference"/>
          <w:rFonts w:ascii="Arial" w:hAnsi="Arial" w:cs="Arial"/>
        </w:rPr>
        <w:footnoteRef/>
      </w:r>
      <w:r w:rsidRPr="00B56F2F">
        <w:rPr>
          <w:rFonts w:ascii="Arial" w:hAnsi="Arial" w:cs="Arial"/>
        </w:rPr>
        <w:t xml:space="preserve"> NCOSS p.3  Carers NSW p.2</w:t>
      </w:r>
    </w:p>
  </w:footnote>
  <w:footnote w:id="13">
    <w:p w14:paraId="782EED7E" w14:textId="77777777" w:rsidR="0069231A" w:rsidRPr="00B56F2F" w:rsidRDefault="0069231A">
      <w:pPr>
        <w:pStyle w:val="FootnoteText"/>
        <w:rPr>
          <w:rFonts w:ascii="Arial" w:hAnsi="Arial" w:cs="Arial"/>
        </w:rPr>
      </w:pPr>
      <w:r w:rsidRPr="00B56F2F">
        <w:rPr>
          <w:rStyle w:val="FootnoteReference"/>
          <w:rFonts w:ascii="Arial" w:hAnsi="Arial" w:cs="Arial"/>
        </w:rPr>
        <w:footnoteRef/>
      </w:r>
      <w:r w:rsidRPr="00B56F2F">
        <w:rPr>
          <w:rFonts w:ascii="Arial" w:hAnsi="Arial" w:cs="Arial"/>
        </w:rPr>
        <w:t xml:space="preserve"> NSW Taxi Council, p.8</w:t>
      </w:r>
    </w:p>
  </w:footnote>
  <w:footnote w:id="14">
    <w:p w14:paraId="3B59FE0C" w14:textId="77777777" w:rsidR="0069231A" w:rsidRPr="00B56F2F" w:rsidRDefault="0069231A" w:rsidP="001E18D4">
      <w:pPr>
        <w:pStyle w:val="FootnoteText"/>
        <w:rPr>
          <w:rFonts w:ascii="Arial" w:hAnsi="Arial" w:cs="Arial"/>
        </w:rPr>
      </w:pPr>
      <w:r w:rsidRPr="00B56F2F">
        <w:rPr>
          <w:rStyle w:val="FootnoteReference"/>
          <w:rFonts w:ascii="Arial" w:hAnsi="Arial" w:cs="Arial"/>
        </w:rPr>
        <w:footnoteRef/>
      </w:r>
      <w:r w:rsidRPr="00B56F2F">
        <w:rPr>
          <w:rFonts w:ascii="Arial" w:hAnsi="Arial" w:cs="Arial"/>
        </w:rPr>
        <w:t xml:space="preserve"> Community Transport Organisation, p.4</w:t>
      </w:r>
    </w:p>
  </w:footnote>
  <w:footnote w:id="15">
    <w:p w14:paraId="0673F532" w14:textId="77777777" w:rsidR="0069231A" w:rsidRPr="00B56F2F" w:rsidRDefault="0069231A" w:rsidP="001E18D4">
      <w:pPr>
        <w:pStyle w:val="FootnoteText"/>
        <w:rPr>
          <w:rFonts w:ascii="Arial" w:hAnsi="Arial" w:cs="Arial"/>
        </w:rPr>
      </w:pPr>
      <w:r w:rsidRPr="00B56F2F">
        <w:rPr>
          <w:rStyle w:val="FootnoteReference"/>
          <w:rFonts w:ascii="Arial" w:hAnsi="Arial" w:cs="Arial"/>
        </w:rPr>
        <w:footnoteRef/>
      </w:r>
      <w:r w:rsidRPr="00B56F2F">
        <w:rPr>
          <w:rFonts w:ascii="Arial" w:hAnsi="Arial" w:cs="Arial"/>
        </w:rPr>
        <w:t xml:space="preserve"> Community Transport Organisation, p.5</w:t>
      </w:r>
    </w:p>
  </w:footnote>
  <w:footnote w:id="16">
    <w:p w14:paraId="5C713092" w14:textId="77777777" w:rsidR="00A41075" w:rsidRPr="00B56F2F" w:rsidRDefault="00A41075" w:rsidP="00A41075">
      <w:pPr>
        <w:pStyle w:val="FootnoteText"/>
        <w:rPr>
          <w:rFonts w:ascii="Arial" w:hAnsi="Arial" w:cs="Arial"/>
        </w:rPr>
      </w:pPr>
      <w:r w:rsidRPr="00B56F2F">
        <w:rPr>
          <w:rStyle w:val="FootnoteReference"/>
          <w:rFonts w:ascii="Arial" w:hAnsi="Arial" w:cs="Arial"/>
        </w:rPr>
        <w:footnoteRef/>
      </w:r>
      <w:r w:rsidRPr="00B56F2F">
        <w:rPr>
          <w:rFonts w:ascii="Arial" w:hAnsi="Arial" w:cs="Arial"/>
        </w:rPr>
        <w:t xml:space="preserve"> </w:t>
      </w:r>
      <w:hyperlink r:id="rId2" w:history="1">
        <w:r w:rsidRPr="00B56F2F">
          <w:rPr>
            <w:rStyle w:val="Hyperlink"/>
            <w:rFonts w:cs="Arial"/>
            <w:sz w:val="20"/>
            <w:szCs w:val="20"/>
          </w:rPr>
          <w:t>http://statements.qld.gov.au/Statement/2019/5/27/new-fund-to-support-wheelchair-accessibility</w:t>
        </w:r>
      </w:hyperlink>
      <w:r w:rsidRPr="00B56F2F">
        <w:rPr>
          <w:rFonts w:ascii="Arial" w:hAnsi="Arial" w:cs="Arial"/>
        </w:rPr>
        <w:t>, accessed 11/06/2019</w:t>
      </w:r>
    </w:p>
  </w:footnote>
  <w:footnote w:id="17">
    <w:p w14:paraId="299222AF" w14:textId="0F6E4257" w:rsidR="0069231A" w:rsidRPr="00B56F2F" w:rsidRDefault="0069231A">
      <w:pPr>
        <w:pStyle w:val="FootnoteText"/>
        <w:rPr>
          <w:rFonts w:ascii="Arial" w:hAnsi="Arial" w:cs="Arial"/>
        </w:rPr>
      </w:pPr>
      <w:r w:rsidRPr="00B56F2F">
        <w:rPr>
          <w:rStyle w:val="FootnoteReference"/>
          <w:rFonts w:ascii="Arial" w:hAnsi="Arial" w:cs="Arial"/>
        </w:rPr>
        <w:footnoteRef/>
      </w:r>
      <w:r w:rsidRPr="00B56F2F">
        <w:rPr>
          <w:rFonts w:ascii="Arial" w:hAnsi="Arial" w:cs="Arial"/>
        </w:rPr>
        <w:t xml:space="preserve"> According to data provided by the Point to Point Transport Commissioner on 14/3/2019, </w:t>
      </w:r>
      <w:r w:rsidR="00E365DE">
        <w:rPr>
          <w:rFonts w:ascii="Arial" w:hAnsi="Arial" w:cs="Arial"/>
        </w:rPr>
        <w:t xml:space="preserve">a total of </w:t>
      </w:r>
      <w:r w:rsidRPr="00B56F2F">
        <w:rPr>
          <w:rFonts w:ascii="Arial" w:hAnsi="Arial" w:cs="Arial"/>
        </w:rPr>
        <w:t>35 complaints relating to WATS were received in the 13 month period to 31 December 2018</w:t>
      </w:r>
    </w:p>
  </w:footnote>
  <w:footnote w:id="18">
    <w:p w14:paraId="66494ACB" w14:textId="77777777" w:rsidR="0069231A" w:rsidRPr="00B56F2F" w:rsidRDefault="0069231A">
      <w:pPr>
        <w:pStyle w:val="FootnoteText"/>
        <w:rPr>
          <w:rFonts w:ascii="Arial" w:hAnsi="Arial" w:cs="Arial"/>
        </w:rPr>
      </w:pPr>
      <w:r w:rsidRPr="00B56F2F">
        <w:rPr>
          <w:rStyle w:val="FootnoteReference"/>
          <w:rFonts w:ascii="Arial" w:hAnsi="Arial" w:cs="Arial"/>
        </w:rPr>
        <w:footnoteRef/>
      </w:r>
      <w:r w:rsidRPr="00B56F2F">
        <w:rPr>
          <w:rFonts w:ascii="Arial" w:hAnsi="Arial" w:cs="Arial"/>
        </w:rPr>
        <w:t xml:space="preserve"> PwC 2018</w:t>
      </w:r>
    </w:p>
  </w:footnote>
  <w:footnote w:id="19">
    <w:p w14:paraId="24C748EE" w14:textId="77777777" w:rsidR="0069231A" w:rsidRPr="00B56F2F" w:rsidRDefault="0069231A" w:rsidP="009326E0">
      <w:pPr>
        <w:pStyle w:val="FootnoteText"/>
        <w:rPr>
          <w:rFonts w:ascii="Arial" w:hAnsi="Arial" w:cs="Arial"/>
        </w:rPr>
      </w:pPr>
      <w:r w:rsidRPr="00B56F2F">
        <w:rPr>
          <w:rStyle w:val="FootnoteReference"/>
          <w:rFonts w:ascii="Arial" w:hAnsi="Arial" w:cs="Arial"/>
        </w:rPr>
        <w:footnoteRef/>
      </w:r>
      <w:r w:rsidRPr="00B56F2F">
        <w:rPr>
          <w:rFonts w:ascii="Arial" w:hAnsi="Arial" w:cs="Arial"/>
        </w:rPr>
        <w:t xml:space="preserve"> Central Coast, Illawarra, Newcastle and Lake Macquarie, Southern Highlands and Shoalhaven</w:t>
      </w:r>
    </w:p>
  </w:footnote>
  <w:footnote w:id="20">
    <w:p w14:paraId="0C459D9E" w14:textId="77777777" w:rsidR="0069231A" w:rsidRPr="00B56F2F" w:rsidRDefault="0069231A" w:rsidP="009326E0">
      <w:pPr>
        <w:pStyle w:val="FootnoteText"/>
        <w:rPr>
          <w:rFonts w:ascii="Arial" w:hAnsi="Arial" w:cs="Arial"/>
        </w:rPr>
      </w:pPr>
      <w:r w:rsidRPr="00B56F2F">
        <w:rPr>
          <w:rStyle w:val="FootnoteReference"/>
          <w:rFonts w:ascii="Arial" w:hAnsi="Arial" w:cs="Arial"/>
        </w:rPr>
        <w:footnoteRef/>
      </w:r>
      <w:r w:rsidRPr="00B56F2F">
        <w:rPr>
          <w:rFonts w:ascii="Arial" w:hAnsi="Arial" w:cs="Arial"/>
        </w:rPr>
        <w:t xml:space="preserve"> PwC 2018, p.34</w:t>
      </w:r>
    </w:p>
  </w:footnote>
  <w:footnote w:id="21">
    <w:p w14:paraId="65BC70FE" w14:textId="77777777" w:rsidR="0069231A" w:rsidRPr="00B56F2F" w:rsidRDefault="0069231A" w:rsidP="009326E0">
      <w:pPr>
        <w:pStyle w:val="FootnoteText"/>
        <w:rPr>
          <w:rFonts w:ascii="Arial" w:hAnsi="Arial" w:cs="Arial"/>
        </w:rPr>
      </w:pPr>
      <w:r w:rsidRPr="00B56F2F">
        <w:rPr>
          <w:rStyle w:val="FootnoteReference"/>
          <w:rFonts w:ascii="Arial" w:hAnsi="Arial" w:cs="Arial"/>
        </w:rPr>
        <w:footnoteRef/>
      </w:r>
      <w:r w:rsidRPr="00B56F2F">
        <w:rPr>
          <w:rFonts w:ascii="Arial" w:hAnsi="Arial" w:cs="Arial"/>
        </w:rPr>
        <w:t xml:space="preserve"> Sydney CBD Workshop, 23 October 2017</w:t>
      </w:r>
    </w:p>
  </w:footnote>
  <w:footnote w:id="22">
    <w:p w14:paraId="09479BC4" w14:textId="77777777" w:rsidR="0069231A" w:rsidRPr="00B56F2F" w:rsidRDefault="0069231A" w:rsidP="009326E0">
      <w:pPr>
        <w:pStyle w:val="FootnoteText"/>
        <w:rPr>
          <w:rFonts w:ascii="Arial" w:hAnsi="Arial" w:cs="Arial"/>
        </w:rPr>
      </w:pPr>
      <w:r w:rsidRPr="00B56F2F">
        <w:rPr>
          <w:rStyle w:val="FootnoteReference"/>
          <w:rFonts w:ascii="Arial" w:hAnsi="Arial" w:cs="Arial"/>
        </w:rPr>
        <w:footnoteRef/>
      </w:r>
      <w:r w:rsidRPr="00B56F2F">
        <w:rPr>
          <w:rFonts w:ascii="Arial" w:hAnsi="Arial" w:cs="Arial"/>
        </w:rPr>
        <w:t xml:space="preserve"> NSW Taxi Council Submission</w:t>
      </w:r>
    </w:p>
  </w:footnote>
  <w:footnote w:id="23">
    <w:p w14:paraId="1B2F595D" w14:textId="77777777" w:rsidR="0069231A" w:rsidRPr="00B56F2F" w:rsidRDefault="0069231A" w:rsidP="009326E0">
      <w:pPr>
        <w:pStyle w:val="FootnoteText"/>
        <w:rPr>
          <w:rFonts w:ascii="Arial" w:hAnsi="Arial" w:cs="Arial"/>
        </w:rPr>
      </w:pPr>
      <w:r w:rsidRPr="00B56F2F">
        <w:rPr>
          <w:rStyle w:val="FootnoteReference"/>
          <w:rFonts w:ascii="Arial" w:hAnsi="Arial" w:cs="Arial"/>
        </w:rPr>
        <w:footnoteRef/>
      </w:r>
      <w:r w:rsidRPr="00B56F2F">
        <w:rPr>
          <w:rFonts w:ascii="Arial" w:hAnsi="Arial" w:cs="Arial"/>
        </w:rPr>
        <w:t xml:space="preserve"> PwC 2018, p.32</w:t>
      </w:r>
    </w:p>
  </w:footnote>
  <w:footnote w:id="24">
    <w:p w14:paraId="0284103E" w14:textId="77777777" w:rsidR="0069231A" w:rsidRPr="00B56F2F" w:rsidRDefault="0069231A" w:rsidP="00723A2F">
      <w:pPr>
        <w:pStyle w:val="FootnoteText"/>
        <w:rPr>
          <w:rFonts w:ascii="Arial" w:hAnsi="Arial" w:cs="Arial"/>
        </w:rPr>
      </w:pPr>
      <w:r w:rsidRPr="00B56F2F">
        <w:rPr>
          <w:rStyle w:val="FootnoteReference"/>
          <w:rFonts w:ascii="Arial" w:hAnsi="Arial" w:cs="Arial"/>
        </w:rPr>
        <w:footnoteRef/>
      </w:r>
      <w:r w:rsidRPr="00B56F2F">
        <w:rPr>
          <w:rFonts w:ascii="Arial" w:hAnsi="Arial" w:cs="Arial"/>
        </w:rPr>
        <w:t xml:space="preserve"> NCOSS Submission, p. 7</w:t>
      </w:r>
    </w:p>
  </w:footnote>
  <w:footnote w:id="25">
    <w:p w14:paraId="1F6FCAA1" w14:textId="77777777" w:rsidR="0069231A" w:rsidRPr="00B56F2F" w:rsidRDefault="0069231A" w:rsidP="009326E0">
      <w:pPr>
        <w:pStyle w:val="FootnoteText"/>
        <w:rPr>
          <w:rFonts w:ascii="Arial" w:hAnsi="Arial" w:cs="Arial"/>
        </w:rPr>
      </w:pPr>
      <w:r w:rsidRPr="00B56F2F">
        <w:rPr>
          <w:rStyle w:val="FootnoteReference"/>
          <w:rFonts w:ascii="Arial" w:hAnsi="Arial" w:cs="Arial"/>
        </w:rPr>
        <w:footnoteRef/>
      </w:r>
      <w:r w:rsidRPr="00B56F2F">
        <w:rPr>
          <w:rFonts w:ascii="Arial" w:hAnsi="Arial" w:cs="Arial"/>
        </w:rPr>
        <w:t xml:space="preserve"> SCIA Submission, p. 3, 7</w:t>
      </w:r>
    </w:p>
  </w:footnote>
  <w:footnote w:id="26">
    <w:p w14:paraId="1EBD4D7F" w14:textId="77777777" w:rsidR="0069231A" w:rsidRPr="00B56F2F" w:rsidRDefault="0069231A" w:rsidP="009326E0">
      <w:pPr>
        <w:pStyle w:val="FootnoteText"/>
        <w:rPr>
          <w:rFonts w:ascii="Arial" w:hAnsi="Arial" w:cs="Arial"/>
        </w:rPr>
      </w:pPr>
      <w:r w:rsidRPr="00B56F2F">
        <w:rPr>
          <w:rStyle w:val="FootnoteReference"/>
          <w:rFonts w:ascii="Arial" w:hAnsi="Arial" w:cs="Arial"/>
        </w:rPr>
        <w:footnoteRef/>
      </w:r>
      <w:r w:rsidRPr="00B56F2F">
        <w:rPr>
          <w:rFonts w:ascii="Arial" w:hAnsi="Arial" w:cs="Arial"/>
        </w:rPr>
        <w:t xml:space="preserve"> Ibid</w:t>
      </w:r>
    </w:p>
  </w:footnote>
  <w:footnote w:id="27">
    <w:p w14:paraId="5F52C4CC" w14:textId="77777777" w:rsidR="0069231A" w:rsidRPr="00B56F2F" w:rsidRDefault="0069231A" w:rsidP="009326E0">
      <w:pPr>
        <w:pStyle w:val="FootnoteText"/>
        <w:rPr>
          <w:rFonts w:ascii="Arial" w:hAnsi="Arial" w:cs="Arial"/>
        </w:rPr>
      </w:pPr>
      <w:r w:rsidRPr="00B56F2F">
        <w:rPr>
          <w:rStyle w:val="FootnoteReference"/>
          <w:rFonts w:ascii="Arial" w:hAnsi="Arial" w:cs="Arial"/>
        </w:rPr>
        <w:footnoteRef/>
      </w:r>
      <w:r w:rsidRPr="00B56F2F">
        <w:rPr>
          <w:rFonts w:ascii="Arial" w:hAnsi="Arial" w:cs="Arial"/>
        </w:rPr>
        <w:t xml:space="preserve"> Tamworth workshop, 20 October 2017</w:t>
      </w:r>
    </w:p>
  </w:footnote>
  <w:footnote w:id="28">
    <w:p w14:paraId="0554A0C7" w14:textId="77777777" w:rsidR="0069231A" w:rsidRPr="00B56F2F" w:rsidRDefault="0069231A" w:rsidP="00D07D10">
      <w:pPr>
        <w:pStyle w:val="FootnoteText"/>
        <w:rPr>
          <w:rFonts w:ascii="Arial" w:hAnsi="Arial" w:cs="Arial"/>
        </w:rPr>
      </w:pPr>
      <w:r w:rsidRPr="00B56F2F">
        <w:rPr>
          <w:rStyle w:val="FootnoteReference"/>
          <w:rFonts w:ascii="Arial" w:hAnsi="Arial" w:cs="Arial"/>
        </w:rPr>
        <w:footnoteRef/>
      </w:r>
      <w:r w:rsidRPr="00B56F2F">
        <w:rPr>
          <w:rFonts w:ascii="Arial" w:hAnsi="Arial" w:cs="Arial"/>
        </w:rPr>
        <w:t xml:space="preserve"> Vision Australia submission</w:t>
      </w:r>
    </w:p>
  </w:footnote>
  <w:footnote w:id="29">
    <w:p w14:paraId="1AA89D87" w14:textId="77777777" w:rsidR="0069231A" w:rsidRPr="00B56F2F" w:rsidRDefault="0069231A" w:rsidP="00D07D10">
      <w:pPr>
        <w:pStyle w:val="FootnoteText"/>
        <w:rPr>
          <w:rFonts w:ascii="Arial" w:hAnsi="Arial" w:cs="Arial"/>
        </w:rPr>
      </w:pPr>
      <w:r w:rsidRPr="00B56F2F">
        <w:rPr>
          <w:rStyle w:val="FootnoteReference"/>
          <w:rFonts w:ascii="Arial" w:hAnsi="Arial" w:cs="Arial"/>
        </w:rPr>
        <w:footnoteRef/>
      </w:r>
      <w:r w:rsidRPr="00B56F2F">
        <w:rPr>
          <w:rFonts w:ascii="Arial" w:hAnsi="Arial" w:cs="Arial"/>
        </w:rPr>
        <w:t xml:space="preserve"> NSW Disability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59966" w14:textId="77777777" w:rsidR="0069231A" w:rsidRDefault="0069231A" w:rsidP="00F578B1">
    <w:pPr>
      <w:pStyle w:val="Caption"/>
    </w:pPr>
    <w:r>
      <w:rPr>
        <w:noProof/>
        <w:lang w:eastAsia="en-AU"/>
      </w:rPr>
      <w:drawing>
        <wp:anchor distT="0" distB="0" distL="114300" distR="114300" simplePos="0" relativeHeight="251657216" behindDoc="1" locked="0" layoutInCell="1" allowOverlap="1" wp14:anchorId="71E7C757" wp14:editId="63D75B66">
          <wp:simplePos x="0" y="0"/>
          <wp:positionH relativeFrom="column">
            <wp:posOffset>-911225</wp:posOffset>
          </wp:positionH>
          <wp:positionV relativeFrom="paragraph">
            <wp:posOffset>-355599</wp:posOffset>
          </wp:positionV>
          <wp:extent cx="7575646" cy="10711492"/>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10 TfNSW Long Document BG.jpg"/>
                  <pic:cNvPicPr/>
                </pic:nvPicPr>
                <pic:blipFill>
                  <a:blip r:embed="rId1">
                    <a:extLst>
                      <a:ext uri="{28A0092B-C50C-407E-A947-70E740481C1C}">
                        <a14:useLocalDpi xmlns:a14="http://schemas.microsoft.com/office/drawing/2010/main" val="0"/>
                      </a:ext>
                    </a:extLst>
                  </a:blip>
                  <a:stretch>
                    <a:fillRect/>
                  </a:stretch>
                </pic:blipFill>
                <pic:spPr>
                  <a:xfrm>
                    <a:off x="0" y="0"/>
                    <a:ext cx="7575646" cy="1071149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826D4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B4639C0"/>
    <w:lvl w:ilvl="0">
      <w:start w:val="1"/>
      <w:numFmt w:val="decimal"/>
      <w:pStyle w:val="ListNumber4"/>
      <w:lvlText w:val="%1."/>
      <w:lvlJc w:val="left"/>
      <w:pPr>
        <w:tabs>
          <w:tab w:val="num" w:pos="1209"/>
        </w:tabs>
        <w:ind w:left="1209" w:hanging="360"/>
      </w:pPr>
    </w:lvl>
  </w:abstractNum>
  <w:abstractNum w:abstractNumId="2" w15:restartNumberingAfterBreak="0">
    <w:nsid w:val="FFFFFF7F"/>
    <w:multiLevelType w:val="singleLevel"/>
    <w:tmpl w:val="EFF63500"/>
    <w:lvl w:ilvl="0">
      <w:start w:val="1"/>
      <w:numFmt w:val="decimal"/>
      <w:pStyle w:val="ListNumber2"/>
      <w:lvlText w:val="%1."/>
      <w:lvlJc w:val="left"/>
      <w:pPr>
        <w:tabs>
          <w:tab w:val="num" w:pos="643"/>
        </w:tabs>
        <w:ind w:left="643" w:hanging="360"/>
      </w:pPr>
    </w:lvl>
  </w:abstractNum>
  <w:abstractNum w:abstractNumId="3" w15:restartNumberingAfterBreak="0">
    <w:nsid w:val="FFFFFF80"/>
    <w:multiLevelType w:val="singleLevel"/>
    <w:tmpl w:val="F8906AEA"/>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7E363D4C"/>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049639A2"/>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9"/>
    <w:multiLevelType w:val="singleLevel"/>
    <w:tmpl w:val="225A629A"/>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1C92D51"/>
    <w:multiLevelType w:val="multilevel"/>
    <w:tmpl w:val="7AC43260"/>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992"/>
        </w:tabs>
        <w:ind w:left="992" w:hanging="992"/>
      </w:pPr>
      <w:rPr>
        <w:rFonts w:hint="default"/>
      </w:rPr>
    </w:lvl>
    <w:lvl w:ilvl="2">
      <w:start w:val="1"/>
      <w:numFmt w:val="decimal"/>
      <w:pStyle w:val="Heading3"/>
      <w:lvlText w:val="%1.%2.%3"/>
      <w:lvlJc w:val="left"/>
      <w:pPr>
        <w:tabs>
          <w:tab w:val="num" w:pos="2127"/>
        </w:tabs>
        <w:ind w:left="2127" w:hanging="1134"/>
      </w:pPr>
      <w:rPr>
        <w:rFonts w:hint="default"/>
      </w:rPr>
    </w:lvl>
    <w:lvl w:ilvl="3">
      <w:start w:val="1"/>
      <w:numFmt w:val="decimal"/>
      <w:pStyle w:val="Heading4"/>
      <w:lvlText w:val="%1.%2.%3.%4"/>
      <w:lvlJc w:val="left"/>
      <w:pPr>
        <w:tabs>
          <w:tab w:val="num" w:pos="2268"/>
        </w:tabs>
        <w:ind w:left="2268" w:hanging="1417"/>
      </w:pPr>
      <w:rPr>
        <w:rFonts w:hint="default"/>
      </w:rPr>
    </w:lvl>
    <w:lvl w:ilvl="4">
      <w:start w:val="1"/>
      <w:numFmt w:val="decimal"/>
      <w:pStyle w:val="Heading5"/>
      <w:lvlText w:val="%1.%2.%3.%4.%5"/>
      <w:lvlJc w:val="left"/>
      <w:pPr>
        <w:tabs>
          <w:tab w:val="num" w:pos="1859"/>
        </w:tabs>
        <w:ind w:left="1859" w:hanging="1008"/>
      </w:pPr>
      <w:rPr>
        <w:rFonts w:hint="default"/>
      </w:rPr>
    </w:lvl>
    <w:lvl w:ilvl="5">
      <w:start w:val="1"/>
      <w:numFmt w:val="decimal"/>
      <w:pStyle w:val="Heading6"/>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8" w15:restartNumberingAfterBreak="0">
    <w:nsid w:val="02D310BF"/>
    <w:multiLevelType w:val="hybridMultilevel"/>
    <w:tmpl w:val="EB4C442C"/>
    <w:lvl w:ilvl="0" w:tplc="383EFD88">
      <w:start w:val="1"/>
      <w:numFmt w:val="decimal"/>
      <w:pStyle w:val="FigureTitle"/>
      <w:lvlText w:val="Figure %1."/>
      <w:lvlJc w:val="left"/>
      <w:pPr>
        <w:tabs>
          <w:tab w:val="num" w:pos="1985"/>
        </w:tabs>
        <w:ind w:left="1985" w:hanging="1134"/>
      </w:pPr>
      <w:rPr>
        <w:rFonts w:ascii="Arial" w:hAnsi="Arial" w:hint="default"/>
        <w:b w:val="0"/>
        <w:i w:val="0"/>
        <w:color w:val="003E7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5A25948"/>
    <w:multiLevelType w:val="hybridMultilevel"/>
    <w:tmpl w:val="BC74625A"/>
    <w:lvl w:ilvl="0" w:tplc="7D186888">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D261486"/>
    <w:multiLevelType w:val="hybridMultilevel"/>
    <w:tmpl w:val="1FB25E2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1" w15:restartNumberingAfterBreak="0">
    <w:nsid w:val="100B3834"/>
    <w:multiLevelType w:val="hybridMultilevel"/>
    <w:tmpl w:val="AC1066B2"/>
    <w:lvl w:ilvl="0" w:tplc="0C090001">
      <w:start w:val="1"/>
      <w:numFmt w:val="bullet"/>
      <w:lvlText w:val=""/>
      <w:lvlJc w:val="left"/>
      <w:pPr>
        <w:ind w:left="1695" w:hanging="360"/>
      </w:pPr>
      <w:rPr>
        <w:rFonts w:ascii="Symbol" w:hAnsi="Symbol" w:hint="default"/>
      </w:rPr>
    </w:lvl>
    <w:lvl w:ilvl="1" w:tplc="0C090003" w:tentative="1">
      <w:start w:val="1"/>
      <w:numFmt w:val="bullet"/>
      <w:lvlText w:val="o"/>
      <w:lvlJc w:val="left"/>
      <w:pPr>
        <w:ind w:left="2415" w:hanging="360"/>
      </w:pPr>
      <w:rPr>
        <w:rFonts w:ascii="Courier New" w:hAnsi="Courier New" w:cs="Courier New" w:hint="default"/>
      </w:rPr>
    </w:lvl>
    <w:lvl w:ilvl="2" w:tplc="0C090005" w:tentative="1">
      <w:start w:val="1"/>
      <w:numFmt w:val="bullet"/>
      <w:lvlText w:val=""/>
      <w:lvlJc w:val="left"/>
      <w:pPr>
        <w:ind w:left="3135" w:hanging="360"/>
      </w:pPr>
      <w:rPr>
        <w:rFonts w:ascii="Wingdings" w:hAnsi="Wingdings" w:hint="default"/>
      </w:rPr>
    </w:lvl>
    <w:lvl w:ilvl="3" w:tplc="0C090001" w:tentative="1">
      <w:start w:val="1"/>
      <w:numFmt w:val="bullet"/>
      <w:lvlText w:val=""/>
      <w:lvlJc w:val="left"/>
      <w:pPr>
        <w:ind w:left="3855" w:hanging="360"/>
      </w:pPr>
      <w:rPr>
        <w:rFonts w:ascii="Symbol" w:hAnsi="Symbol" w:hint="default"/>
      </w:rPr>
    </w:lvl>
    <w:lvl w:ilvl="4" w:tplc="0C090003" w:tentative="1">
      <w:start w:val="1"/>
      <w:numFmt w:val="bullet"/>
      <w:lvlText w:val="o"/>
      <w:lvlJc w:val="left"/>
      <w:pPr>
        <w:ind w:left="4575" w:hanging="360"/>
      </w:pPr>
      <w:rPr>
        <w:rFonts w:ascii="Courier New" w:hAnsi="Courier New" w:cs="Courier New" w:hint="default"/>
      </w:rPr>
    </w:lvl>
    <w:lvl w:ilvl="5" w:tplc="0C090005" w:tentative="1">
      <w:start w:val="1"/>
      <w:numFmt w:val="bullet"/>
      <w:lvlText w:val=""/>
      <w:lvlJc w:val="left"/>
      <w:pPr>
        <w:ind w:left="5295" w:hanging="360"/>
      </w:pPr>
      <w:rPr>
        <w:rFonts w:ascii="Wingdings" w:hAnsi="Wingdings" w:hint="default"/>
      </w:rPr>
    </w:lvl>
    <w:lvl w:ilvl="6" w:tplc="0C090001" w:tentative="1">
      <w:start w:val="1"/>
      <w:numFmt w:val="bullet"/>
      <w:lvlText w:val=""/>
      <w:lvlJc w:val="left"/>
      <w:pPr>
        <w:ind w:left="6015" w:hanging="360"/>
      </w:pPr>
      <w:rPr>
        <w:rFonts w:ascii="Symbol" w:hAnsi="Symbol" w:hint="default"/>
      </w:rPr>
    </w:lvl>
    <w:lvl w:ilvl="7" w:tplc="0C090003" w:tentative="1">
      <w:start w:val="1"/>
      <w:numFmt w:val="bullet"/>
      <w:lvlText w:val="o"/>
      <w:lvlJc w:val="left"/>
      <w:pPr>
        <w:ind w:left="6735" w:hanging="360"/>
      </w:pPr>
      <w:rPr>
        <w:rFonts w:ascii="Courier New" w:hAnsi="Courier New" w:cs="Courier New" w:hint="default"/>
      </w:rPr>
    </w:lvl>
    <w:lvl w:ilvl="8" w:tplc="0C090005" w:tentative="1">
      <w:start w:val="1"/>
      <w:numFmt w:val="bullet"/>
      <w:lvlText w:val=""/>
      <w:lvlJc w:val="left"/>
      <w:pPr>
        <w:ind w:left="7455" w:hanging="360"/>
      </w:pPr>
      <w:rPr>
        <w:rFonts w:ascii="Wingdings" w:hAnsi="Wingdings" w:hint="default"/>
      </w:rPr>
    </w:lvl>
  </w:abstractNum>
  <w:abstractNum w:abstractNumId="12" w15:restartNumberingAfterBreak="0">
    <w:nsid w:val="12A8675D"/>
    <w:multiLevelType w:val="hybridMultilevel"/>
    <w:tmpl w:val="96E693FE"/>
    <w:lvl w:ilvl="0" w:tplc="03F2A408">
      <w:start w:val="1"/>
      <w:numFmt w:val="decimal"/>
      <w:pStyle w:val="Reference"/>
      <w:lvlText w:val="[%1]"/>
      <w:lvlJc w:val="left"/>
      <w:pPr>
        <w:tabs>
          <w:tab w:val="num" w:pos="0"/>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301340B"/>
    <w:multiLevelType w:val="hybridMultilevel"/>
    <w:tmpl w:val="FC02703A"/>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14" w15:restartNumberingAfterBreak="0">
    <w:nsid w:val="13CB06B1"/>
    <w:multiLevelType w:val="hybridMultilevel"/>
    <w:tmpl w:val="BFBE7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82028CB"/>
    <w:multiLevelType w:val="multilevel"/>
    <w:tmpl w:val="3BDE296A"/>
    <w:lvl w:ilvl="0">
      <w:start w:val="1"/>
      <w:numFmt w:val="decimal"/>
      <w:pStyle w:val="ListNumber"/>
      <w:lvlText w:val="%1."/>
      <w:lvlJc w:val="left"/>
      <w:pPr>
        <w:tabs>
          <w:tab w:val="num" w:pos="717"/>
        </w:tabs>
        <w:ind w:left="717" w:hanging="360"/>
      </w:pPr>
      <w:rPr>
        <w:rFonts w:hint="default"/>
      </w:rPr>
    </w:lvl>
    <w:lvl w:ilvl="1">
      <w:start w:val="1"/>
      <w:numFmt w:val="lowerLetter"/>
      <w:lvlText w:val="(%2)"/>
      <w:lvlJc w:val="left"/>
      <w:pPr>
        <w:tabs>
          <w:tab w:val="num" w:pos="1491"/>
        </w:tabs>
        <w:ind w:left="1491" w:hanging="567"/>
      </w:pPr>
      <w:rPr>
        <w:rFonts w:hint="default"/>
      </w:rPr>
    </w:lvl>
    <w:lvl w:ilvl="2">
      <w:start w:val="1"/>
      <w:numFmt w:val="lowerRoman"/>
      <w:lvlText w:val="(%3)"/>
      <w:lvlJc w:val="left"/>
      <w:pPr>
        <w:tabs>
          <w:tab w:val="num" w:pos="2058"/>
        </w:tabs>
        <w:ind w:left="2058" w:hanging="567"/>
      </w:pPr>
      <w:rPr>
        <w:rFonts w:hint="default"/>
      </w:rPr>
    </w:lvl>
    <w:lvl w:ilvl="3">
      <w:start w:val="1"/>
      <w:numFmt w:val="none"/>
      <w:lvlRestart w:val="0"/>
      <w:suff w:val="nothing"/>
      <w:lvlText w:val=""/>
      <w:lvlJc w:val="left"/>
      <w:pPr>
        <w:ind w:left="2058" w:firstLine="0"/>
      </w:pPr>
      <w:rPr>
        <w:rFonts w:hint="default"/>
      </w:rPr>
    </w:lvl>
    <w:lvl w:ilvl="4">
      <w:start w:val="1"/>
      <w:numFmt w:val="none"/>
      <w:lvlRestart w:val="0"/>
      <w:suff w:val="nothing"/>
      <w:lvlText w:val=""/>
      <w:lvlJc w:val="left"/>
      <w:pPr>
        <w:ind w:left="2058" w:firstLine="0"/>
      </w:pPr>
      <w:rPr>
        <w:rFonts w:hint="default"/>
      </w:rPr>
    </w:lvl>
    <w:lvl w:ilvl="5">
      <w:start w:val="1"/>
      <w:numFmt w:val="none"/>
      <w:lvlRestart w:val="0"/>
      <w:suff w:val="nothing"/>
      <w:lvlText w:val=""/>
      <w:lvlJc w:val="left"/>
      <w:pPr>
        <w:ind w:left="2058" w:firstLine="0"/>
      </w:pPr>
      <w:rPr>
        <w:rFonts w:hint="default"/>
      </w:rPr>
    </w:lvl>
    <w:lvl w:ilvl="6">
      <w:start w:val="1"/>
      <w:numFmt w:val="none"/>
      <w:lvlRestart w:val="0"/>
      <w:suff w:val="nothing"/>
      <w:lvlText w:val=""/>
      <w:lvlJc w:val="left"/>
      <w:pPr>
        <w:ind w:left="2058" w:firstLine="0"/>
      </w:pPr>
      <w:rPr>
        <w:rFonts w:hint="default"/>
      </w:rPr>
    </w:lvl>
    <w:lvl w:ilvl="7">
      <w:start w:val="1"/>
      <w:numFmt w:val="none"/>
      <w:lvlRestart w:val="0"/>
      <w:suff w:val="nothing"/>
      <w:lvlText w:val=""/>
      <w:lvlJc w:val="left"/>
      <w:pPr>
        <w:ind w:left="2058" w:firstLine="0"/>
      </w:pPr>
      <w:rPr>
        <w:rFonts w:hint="default"/>
      </w:rPr>
    </w:lvl>
    <w:lvl w:ilvl="8">
      <w:start w:val="1"/>
      <w:numFmt w:val="none"/>
      <w:lvlRestart w:val="0"/>
      <w:suff w:val="nothing"/>
      <w:lvlText w:val=""/>
      <w:lvlJc w:val="left"/>
      <w:pPr>
        <w:ind w:left="2058" w:firstLine="0"/>
      </w:pPr>
      <w:rPr>
        <w:rFonts w:hint="default"/>
      </w:rPr>
    </w:lvl>
  </w:abstractNum>
  <w:abstractNum w:abstractNumId="16" w15:restartNumberingAfterBreak="0">
    <w:nsid w:val="182F6885"/>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3E6D86"/>
    <w:multiLevelType w:val="hybridMultilevel"/>
    <w:tmpl w:val="6F9872EC"/>
    <w:lvl w:ilvl="0" w:tplc="6CB250C0">
      <w:start w:val="1"/>
      <w:numFmt w:val="decimal"/>
      <w:pStyle w:val="TableNumbered"/>
      <w:lvlText w:val="%1."/>
      <w:lvlJc w:val="left"/>
      <w:pPr>
        <w:tabs>
          <w:tab w:val="num" w:pos="397"/>
        </w:tabs>
        <w:ind w:left="397" w:hanging="397"/>
      </w:pPr>
      <w:rPr>
        <w:rFonts w:hint="default"/>
        <w:b/>
        <w:i w:val="0"/>
        <w:color w:val="003E7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1EF60B35"/>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FFF25CA"/>
    <w:multiLevelType w:val="hybridMultilevel"/>
    <w:tmpl w:val="025CD1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216D0FC0"/>
    <w:multiLevelType w:val="hybridMultilevel"/>
    <w:tmpl w:val="4B1E1C56"/>
    <w:lvl w:ilvl="0" w:tplc="96467300">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1" w15:restartNumberingAfterBreak="0">
    <w:nsid w:val="2EA810AE"/>
    <w:multiLevelType w:val="hybridMultilevel"/>
    <w:tmpl w:val="E5265F26"/>
    <w:lvl w:ilvl="0" w:tplc="10005672">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2" w15:restartNumberingAfterBreak="0">
    <w:nsid w:val="315D7A25"/>
    <w:multiLevelType w:val="hybridMultilevel"/>
    <w:tmpl w:val="BC74625A"/>
    <w:lvl w:ilvl="0" w:tplc="7D186888">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3" w15:restartNumberingAfterBreak="0">
    <w:nsid w:val="319A1B4F"/>
    <w:multiLevelType w:val="hybridMultilevel"/>
    <w:tmpl w:val="C19647C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32B2101C"/>
    <w:multiLevelType w:val="hybridMultilevel"/>
    <w:tmpl w:val="49943EF4"/>
    <w:lvl w:ilvl="0" w:tplc="7326DF58">
      <w:numFmt w:val="bullet"/>
      <w:lvlText w:val="•"/>
      <w:lvlJc w:val="left"/>
      <w:pPr>
        <w:ind w:left="2066" w:hanging="855"/>
      </w:pPr>
      <w:rPr>
        <w:rFonts w:ascii="Arial" w:eastAsia="Times New Roman" w:hAnsi="Arial" w:cs="Aria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5" w15:restartNumberingAfterBreak="0">
    <w:nsid w:val="330746E4"/>
    <w:multiLevelType w:val="hybridMultilevel"/>
    <w:tmpl w:val="B7084E8A"/>
    <w:lvl w:ilvl="0" w:tplc="0C090001">
      <w:start w:val="1"/>
      <w:numFmt w:val="bullet"/>
      <w:lvlText w:val=""/>
      <w:lvlJc w:val="left"/>
      <w:pPr>
        <w:ind w:left="1689" w:hanging="360"/>
      </w:pPr>
      <w:rPr>
        <w:rFonts w:ascii="Symbol" w:hAnsi="Symbol" w:hint="default"/>
      </w:rPr>
    </w:lvl>
    <w:lvl w:ilvl="1" w:tplc="0C090003" w:tentative="1">
      <w:start w:val="1"/>
      <w:numFmt w:val="bullet"/>
      <w:lvlText w:val="o"/>
      <w:lvlJc w:val="left"/>
      <w:pPr>
        <w:ind w:left="2409" w:hanging="360"/>
      </w:pPr>
      <w:rPr>
        <w:rFonts w:ascii="Courier New" w:hAnsi="Courier New" w:cs="Courier New" w:hint="default"/>
      </w:rPr>
    </w:lvl>
    <w:lvl w:ilvl="2" w:tplc="0C090005" w:tentative="1">
      <w:start w:val="1"/>
      <w:numFmt w:val="bullet"/>
      <w:lvlText w:val=""/>
      <w:lvlJc w:val="left"/>
      <w:pPr>
        <w:ind w:left="3129" w:hanging="360"/>
      </w:pPr>
      <w:rPr>
        <w:rFonts w:ascii="Wingdings" w:hAnsi="Wingdings" w:hint="default"/>
      </w:rPr>
    </w:lvl>
    <w:lvl w:ilvl="3" w:tplc="0C090001" w:tentative="1">
      <w:start w:val="1"/>
      <w:numFmt w:val="bullet"/>
      <w:lvlText w:val=""/>
      <w:lvlJc w:val="left"/>
      <w:pPr>
        <w:ind w:left="3849" w:hanging="360"/>
      </w:pPr>
      <w:rPr>
        <w:rFonts w:ascii="Symbol" w:hAnsi="Symbol" w:hint="default"/>
      </w:rPr>
    </w:lvl>
    <w:lvl w:ilvl="4" w:tplc="0C090003" w:tentative="1">
      <w:start w:val="1"/>
      <w:numFmt w:val="bullet"/>
      <w:lvlText w:val="o"/>
      <w:lvlJc w:val="left"/>
      <w:pPr>
        <w:ind w:left="4569" w:hanging="360"/>
      </w:pPr>
      <w:rPr>
        <w:rFonts w:ascii="Courier New" w:hAnsi="Courier New" w:cs="Courier New" w:hint="default"/>
      </w:rPr>
    </w:lvl>
    <w:lvl w:ilvl="5" w:tplc="0C090005" w:tentative="1">
      <w:start w:val="1"/>
      <w:numFmt w:val="bullet"/>
      <w:lvlText w:val=""/>
      <w:lvlJc w:val="left"/>
      <w:pPr>
        <w:ind w:left="5289" w:hanging="360"/>
      </w:pPr>
      <w:rPr>
        <w:rFonts w:ascii="Wingdings" w:hAnsi="Wingdings" w:hint="default"/>
      </w:rPr>
    </w:lvl>
    <w:lvl w:ilvl="6" w:tplc="0C090001" w:tentative="1">
      <w:start w:val="1"/>
      <w:numFmt w:val="bullet"/>
      <w:lvlText w:val=""/>
      <w:lvlJc w:val="left"/>
      <w:pPr>
        <w:ind w:left="6009" w:hanging="360"/>
      </w:pPr>
      <w:rPr>
        <w:rFonts w:ascii="Symbol" w:hAnsi="Symbol" w:hint="default"/>
      </w:rPr>
    </w:lvl>
    <w:lvl w:ilvl="7" w:tplc="0C090003" w:tentative="1">
      <w:start w:val="1"/>
      <w:numFmt w:val="bullet"/>
      <w:lvlText w:val="o"/>
      <w:lvlJc w:val="left"/>
      <w:pPr>
        <w:ind w:left="6729" w:hanging="360"/>
      </w:pPr>
      <w:rPr>
        <w:rFonts w:ascii="Courier New" w:hAnsi="Courier New" w:cs="Courier New" w:hint="default"/>
      </w:rPr>
    </w:lvl>
    <w:lvl w:ilvl="8" w:tplc="0C090005" w:tentative="1">
      <w:start w:val="1"/>
      <w:numFmt w:val="bullet"/>
      <w:lvlText w:val=""/>
      <w:lvlJc w:val="left"/>
      <w:pPr>
        <w:ind w:left="7449" w:hanging="360"/>
      </w:pPr>
      <w:rPr>
        <w:rFonts w:ascii="Wingdings" w:hAnsi="Wingdings" w:hint="default"/>
      </w:rPr>
    </w:lvl>
  </w:abstractNum>
  <w:abstractNum w:abstractNumId="26" w15:restartNumberingAfterBreak="0">
    <w:nsid w:val="376854A3"/>
    <w:multiLevelType w:val="hybridMultilevel"/>
    <w:tmpl w:val="6248F752"/>
    <w:lvl w:ilvl="0" w:tplc="9B06ACDE">
      <w:numFmt w:val="bullet"/>
      <w:lvlText w:val="•"/>
      <w:lvlJc w:val="left"/>
      <w:pPr>
        <w:ind w:left="1215" w:hanging="855"/>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9786785"/>
    <w:multiLevelType w:val="hybridMultilevel"/>
    <w:tmpl w:val="71425DD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8" w15:restartNumberingAfterBreak="0">
    <w:nsid w:val="3E1C6B32"/>
    <w:multiLevelType w:val="hybridMultilevel"/>
    <w:tmpl w:val="3F646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44A1AD0"/>
    <w:multiLevelType w:val="hybridMultilevel"/>
    <w:tmpl w:val="348EB564"/>
    <w:lvl w:ilvl="0" w:tplc="CBA28DB0">
      <w:start w:val="1"/>
      <w:numFmt w:val="bullet"/>
      <w:pStyle w:val="Bullet2"/>
      <w:lvlText w:val=""/>
      <w:lvlJc w:val="left"/>
      <w:pPr>
        <w:tabs>
          <w:tab w:val="num" w:pos="1134"/>
        </w:tabs>
        <w:ind w:left="1134" w:hanging="283"/>
      </w:pPr>
      <w:rPr>
        <w:rFonts w:ascii="Symbol" w:hAnsi="Symbol" w:hint="default"/>
        <w:color w:val="E31937"/>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094986"/>
    <w:multiLevelType w:val="hybridMultilevel"/>
    <w:tmpl w:val="EEC6AB80"/>
    <w:lvl w:ilvl="0" w:tplc="5A165400">
      <w:start w:val="1"/>
      <w:numFmt w:val="decimal"/>
      <w:pStyle w:val="TableTitle"/>
      <w:lvlText w:val="Table %1."/>
      <w:lvlJc w:val="left"/>
      <w:pPr>
        <w:tabs>
          <w:tab w:val="num" w:pos="1985"/>
        </w:tabs>
        <w:ind w:left="1985" w:hanging="1134"/>
      </w:pPr>
      <w:rPr>
        <w:rFonts w:ascii="Arial" w:hAnsi="Arial" w:hint="default"/>
        <w:b w:val="0"/>
        <w:i w:val="0"/>
        <w:color w:val="003E7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2415DDD"/>
    <w:multiLevelType w:val="hybridMultilevel"/>
    <w:tmpl w:val="5664B088"/>
    <w:lvl w:ilvl="0" w:tplc="95F8B17C">
      <w:start w:val="1"/>
      <w:numFmt w:val="decimal"/>
      <w:pStyle w:val="NumberedList"/>
      <w:lvlText w:val="%1."/>
      <w:lvlJc w:val="left"/>
      <w:pPr>
        <w:tabs>
          <w:tab w:val="num" w:pos="1247"/>
        </w:tabs>
        <w:ind w:left="1247" w:hanging="396"/>
      </w:pPr>
      <w:rPr>
        <w:rFonts w:hint="default"/>
        <w:b/>
        <w:i w:val="0"/>
        <w:color w:val="003E7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55167138"/>
    <w:multiLevelType w:val="multilevel"/>
    <w:tmpl w:val="917A8388"/>
    <w:lvl w:ilvl="0">
      <w:start w:val="1"/>
      <w:numFmt w:val="bullet"/>
      <w:pStyle w:val="ListBullet2"/>
      <w:lvlText w:val=""/>
      <w:lvlJc w:val="left"/>
      <w:pPr>
        <w:tabs>
          <w:tab w:val="num" w:pos="0"/>
        </w:tabs>
        <w:ind w:left="357" w:firstLine="357"/>
      </w:pPr>
      <w:rPr>
        <w:rFonts w:ascii="Wingdings" w:hAnsi="Wingdings" w:hint="default"/>
        <w:color w:val="auto"/>
        <w:sz w:val="22"/>
        <w:szCs w:val="22"/>
      </w:rPr>
    </w:lvl>
    <w:lvl w:ilvl="1">
      <w:start w:val="1"/>
      <w:numFmt w:val="bullet"/>
      <w:pStyle w:val="Index2"/>
      <w:lvlText w:val=""/>
      <w:lvlJc w:val="left"/>
      <w:pPr>
        <w:tabs>
          <w:tab w:val="num" w:pos="1287"/>
        </w:tabs>
        <w:ind w:left="1287" w:hanging="567"/>
      </w:pPr>
      <w:rPr>
        <w:rFonts w:ascii="Wingdings" w:hAnsi="Wingdings" w:hint="default"/>
        <w:color w:val="FF6600"/>
        <w:sz w:val="16"/>
      </w:rPr>
    </w:lvl>
    <w:lvl w:ilvl="2">
      <w:start w:val="1"/>
      <w:numFmt w:val="bullet"/>
      <w:pStyle w:val="Index3"/>
      <w:lvlText w:val=""/>
      <w:lvlJc w:val="left"/>
      <w:pPr>
        <w:tabs>
          <w:tab w:val="num" w:pos="1854"/>
        </w:tabs>
        <w:ind w:left="1854" w:hanging="567"/>
      </w:pPr>
      <w:rPr>
        <w:rFonts w:ascii="Wingdings" w:hAnsi="Wingdings" w:hint="default"/>
        <w:color w:val="FF6600"/>
        <w:sz w:val="22"/>
        <w:szCs w:val="22"/>
      </w:rPr>
    </w:lvl>
    <w:lvl w:ilvl="3">
      <w:start w:val="1"/>
      <w:numFmt w:val="none"/>
      <w:lvlRestart w:val="0"/>
      <w:suff w:val="nothing"/>
      <w:lvlText w:val=""/>
      <w:lvlJc w:val="left"/>
      <w:pPr>
        <w:ind w:left="1854" w:firstLine="0"/>
      </w:pPr>
      <w:rPr>
        <w:rFonts w:hint="default"/>
      </w:rPr>
    </w:lvl>
    <w:lvl w:ilvl="4">
      <w:start w:val="1"/>
      <w:numFmt w:val="none"/>
      <w:lvlRestart w:val="0"/>
      <w:suff w:val="nothing"/>
      <w:lvlText w:val=""/>
      <w:lvlJc w:val="left"/>
      <w:pPr>
        <w:ind w:left="1854" w:firstLine="0"/>
      </w:pPr>
      <w:rPr>
        <w:rFonts w:hint="default"/>
      </w:rPr>
    </w:lvl>
    <w:lvl w:ilvl="5">
      <w:start w:val="1"/>
      <w:numFmt w:val="none"/>
      <w:lvlRestart w:val="0"/>
      <w:suff w:val="nothing"/>
      <w:lvlText w:val=""/>
      <w:lvlJc w:val="left"/>
      <w:pPr>
        <w:ind w:left="1854" w:firstLine="0"/>
      </w:pPr>
      <w:rPr>
        <w:rFonts w:hint="default"/>
      </w:rPr>
    </w:lvl>
    <w:lvl w:ilvl="6">
      <w:start w:val="1"/>
      <w:numFmt w:val="none"/>
      <w:lvlRestart w:val="0"/>
      <w:suff w:val="nothing"/>
      <w:lvlText w:val=""/>
      <w:lvlJc w:val="left"/>
      <w:pPr>
        <w:ind w:left="1854" w:firstLine="0"/>
      </w:pPr>
      <w:rPr>
        <w:rFonts w:hint="default"/>
      </w:rPr>
    </w:lvl>
    <w:lvl w:ilvl="7">
      <w:start w:val="1"/>
      <w:numFmt w:val="none"/>
      <w:lvlRestart w:val="0"/>
      <w:suff w:val="nothing"/>
      <w:lvlText w:val=""/>
      <w:lvlJc w:val="left"/>
      <w:pPr>
        <w:ind w:left="1854" w:firstLine="0"/>
      </w:pPr>
      <w:rPr>
        <w:rFonts w:hint="default"/>
      </w:rPr>
    </w:lvl>
    <w:lvl w:ilvl="8">
      <w:start w:val="1"/>
      <w:numFmt w:val="none"/>
      <w:lvlRestart w:val="0"/>
      <w:suff w:val="nothing"/>
      <w:lvlText w:val=""/>
      <w:lvlJc w:val="left"/>
      <w:pPr>
        <w:ind w:left="1854" w:firstLine="0"/>
      </w:pPr>
      <w:rPr>
        <w:rFonts w:hint="default"/>
      </w:rPr>
    </w:lvl>
  </w:abstractNum>
  <w:abstractNum w:abstractNumId="33" w15:restartNumberingAfterBreak="0">
    <w:nsid w:val="570B78EB"/>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573A2402"/>
    <w:multiLevelType w:val="hybridMultilevel"/>
    <w:tmpl w:val="2182D55E"/>
    <w:lvl w:ilvl="0" w:tplc="40C05530">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5" w15:restartNumberingAfterBreak="0">
    <w:nsid w:val="59282758"/>
    <w:multiLevelType w:val="hybridMultilevel"/>
    <w:tmpl w:val="2EA60A90"/>
    <w:lvl w:ilvl="0" w:tplc="A5682188">
      <w:start w:val="1"/>
      <w:numFmt w:val="bullet"/>
      <w:pStyle w:val="TableBulleted"/>
      <w:lvlText w:val=""/>
      <w:lvlJc w:val="left"/>
      <w:pPr>
        <w:tabs>
          <w:tab w:val="num" w:pos="284"/>
        </w:tabs>
        <w:ind w:left="284" w:hanging="284"/>
      </w:pPr>
      <w:rPr>
        <w:rFonts w:ascii="Wingdings" w:hAnsi="Wingdings" w:hint="default"/>
        <w:color w:val="003E7E"/>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9259C9"/>
    <w:multiLevelType w:val="hybridMultilevel"/>
    <w:tmpl w:val="6A6629E8"/>
    <w:lvl w:ilvl="0" w:tplc="0C090001">
      <w:start w:val="1"/>
      <w:numFmt w:val="bullet"/>
      <w:lvlText w:val=""/>
      <w:lvlJc w:val="left"/>
      <w:pPr>
        <w:ind w:left="791" w:hanging="360"/>
      </w:pPr>
      <w:rPr>
        <w:rFonts w:ascii="Symbol" w:hAnsi="Symbol" w:hint="default"/>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37" w15:restartNumberingAfterBreak="0">
    <w:nsid w:val="669F1F4C"/>
    <w:multiLevelType w:val="hybridMultilevel"/>
    <w:tmpl w:val="556A5286"/>
    <w:lvl w:ilvl="0" w:tplc="E918C58E">
      <w:start w:val="1"/>
      <w:numFmt w:val="bullet"/>
      <w:pStyle w:val="Bullet3"/>
      <w:lvlText w:val=""/>
      <w:lvlJc w:val="left"/>
      <w:pPr>
        <w:tabs>
          <w:tab w:val="num" w:pos="1701"/>
        </w:tabs>
        <w:ind w:left="1701" w:hanging="283"/>
      </w:pPr>
      <w:rPr>
        <w:rFonts w:ascii="Wingdings" w:hAnsi="Wingdings" w:hint="default"/>
        <w:color w:val="808080"/>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EE0175"/>
    <w:multiLevelType w:val="hybridMultilevel"/>
    <w:tmpl w:val="3BF8260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672701D8"/>
    <w:multiLevelType w:val="hybridMultilevel"/>
    <w:tmpl w:val="C318FF2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0" w15:restartNumberingAfterBreak="0">
    <w:nsid w:val="6C293B10"/>
    <w:multiLevelType w:val="hybridMultilevel"/>
    <w:tmpl w:val="B49C5B84"/>
    <w:lvl w:ilvl="0" w:tplc="87AA08B8">
      <w:start w:val="1"/>
      <w:numFmt w:val="upperLetter"/>
      <w:pStyle w:val="AppendixHeading"/>
      <w:lvlText w:val="Appendix %1"/>
      <w:lvlJc w:val="left"/>
      <w:pPr>
        <w:tabs>
          <w:tab w:val="num" w:pos="2835"/>
        </w:tabs>
        <w:ind w:left="2835" w:hanging="2835"/>
      </w:pPr>
      <w:rPr>
        <w:rFonts w:ascii="Arial Bold" w:hAnsi="Arial Bold" w:hint="default"/>
        <w:b/>
        <w:i w:val="0"/>
        <w:sz w:val="40"/>
        <w:szCs w:val="4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CE016A5"/>
    <w:multiLevelType w:val="hybridMultilevel"/>
    <w:tmpl w:val="D3D6738A"/>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2" w15:restartNumberingAfterBreak="0">
    <w:nsid w:val="71FC31E0"/>
    <w:multiLevelType w:val="hybridMultilevel"/>
    <w:tmpl w:val="4C1882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8256FDC"/>
    <w:multiLevelType w:val="hybridMultilevel"/>
    <w:tmpl w:val="549C7042"/>
    <w:lvl w:ilvl="0" w:tplc="C890E4F6">
      <w:start w:val="1"/>
      <w:numFmt w:val="bullet"/>
      <w:pStyle w:val="Bullet1"/>
      <w:lvlText w:val=""/>
      <w:lvlJc w:val="left"/>
      <w:pPr>
        <w:tabs>
          <w:tab w:val="num" w:pos="1134"/>
        </w:tabs>
        <w:ind w:left="1134" w:hanging="283"/>
      </w:pPr>
      <w:rPr>
        <w:rFonts w:ascii="Wingdings" w:hAnsi="Wingdings" w:hint="default"/>
        <w:color w:val="003E7E"/>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9107B8"/>
    <w:multiLevelType w:val="hybridMultilevel"/>
    <w:tmpl w:val="35C2CE8A"/>
    <w:lvl w:ilvl="0" w:tplc="D43242E4">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5" w15:restartNumberingAfterBreak="0">
    <w:nsid w:val="7F443492"/>
    <w:multiLevelType w:val="hybridMultilevel"/>
    <w:tmpl w:val="2F9CBCB6"/>
    <w:lvl w:ilvl="0" w:tplc="440C0DE2">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0"/>
  </w:num>
  <w:num w:numId="6">
    <w:abstractNumId w:val="1"/>
  </w:num>
  <w:num w:numId="7">
    <w:abstractNumId w:val="2"/>
  </w:num>
  <w:num w:numId="8">
    <w:abstractNumId w:val="40"/>
  </w:num>
  <w:num w:numId="9">
    <w:abstractNumId w:val="43"/>
  </w:num>
  <w:num w:numId="10">
    <w:abstractNumId w:val="8"/>
  </w:num>
  <w:num w:numId="11">
    <w:abstractNumId w:val="7"/>
  </w:num>
  <w:num w:numId="12">
    <w:abstractNumId w:val="32"/>
  </w:num>
  <w:num w:numId="13">
    <w:abstractNumId w:val="15"/>
  </w:num>
  <w:num w:numId="14">
    <w:abstractNumId w:val="12"/>
  </w:num>
  <w:num w:numId="15">
    <w:abstractNumId w:val="33"/>
  </w:num>
  <w:num w:numId="16">
    <w:abstractNumId w:val="18"/>
  </w:num>
  <w:num w:numId="17">
    <w:abstractNumId w:val="16"/>
  </w:num>
  <w:num w:numId="18">
    <w:abstractNumId w:val="37"/>
  </w:num>
  <w:num w:numId="19">
    <w:abstractNumId w:val="29"/>
  </w:num>
  <w:num w:numId="20">
    <w:abstractNumId w:val="17"/>
  </w:num>
  <w:num w:numId="21">
    <w:abstractNumId w:val="31"/>
  </w:num>
  <w:num w:numId="22">
    <w:abstractNumId w:val="35"/>
  </w:num>
  <w:num w:numId="23">
    <w:abstractNumId w:val="30"/>
  </w:num>
  <w:num w:numId="24">
    <w:abstractNumId w:val="26"/>
  </w:num>
  <w:num w:numId="25">
    <w:abstractNumId w:val="24"/>
  </w:num>
  <w:num w:numId="26">
    <w:abstractNumId w:val="21"/>
  </w:num>
  <w:num w:numId="27">
    <w:abstractNumId w:val="34"/>
  </w:num>
  <w:num w:numId="28">
    <w:abstractNumId w:val="14"/>
  </w:num>
  <w:num w:numId="29">
    <w:abstractNumId w:val="27"/>
  </w:num>
  <w:num w:numId="30">
    <w:abstractNumId w:val="44"/>
  </w:num>
  <w:num w:numId="31">
    <w:abstractNumId w:val="13"/>
  </w:num>
  <w:num w:numId="32">
    <w:abstractNumId w:val="44"/>
  </w:num>
  <w:num w:numId="33">
    <w:abstractNumId w:val="28"/>
  </w:num>
  <w:num w:numId="34">
    <w:abstractNumId w:val="44"/>
  </w:num>
  <w:num w:numId="35">
    <w:abstractNumId w:val="19"/>
  </w:num>
  <w:num w:numId="36">
    <w:abstractNumId w:val="36"/>
  </w:num>
  <w:num w:numId="37">
    <w:abstractNumId w:val="45"/>
  </w:num>
  <w:num w:numId="38">
    <w:abstractNumId w:val="41"/>
  </w:num>
  <w:num w:numId="39">
    <w:abstractNumId w:val="38"/>
  </w:num>
  <w:num w:numId="40">
    <w:abstractNumId w:val="20"/>
  </w:num>
  <w:num w:numId="41">
    <w:abstractNumId w:val="39"/>
  </w:num>
  <w:num w:numId="42">
    <w:abstractNumId w:val="25"/>
  </w:num>
  <w:num w:numId="43">
    <w:abstractNumId w:val="42"/>
  </w:num>
  <w:num w:numId="44">
    <w:abstractNumId w:val="23"/>
  </w:num>
  <w:num w:numId="45">
    <w:abstractNumId w:val="10"/>
  </w:num>
  <w:num w:numId="46">
    <w:abstractNumId w:val="7"/>
  </w:num>
  <w:num w:numId="47">
    <w:abstractNumId w:val="11"/>
  </w:num>
  <w:num w:numId="48">
    <w:abstractNumId w:val="9"/>
  </w:num>
  <w:num w:numId="49">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noPunctuationKerning/>
  <w:characterSpacingControl w:val="doNotCompress"/>
  <w:hdrShapeDefaults>
    <o:shapedefaults v:ext="edit" spidmax="4097">
      <o:colormru v:ext="edit" colors="#ab1320,#d54d20,#fdb813,#a09a9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FooterText" w:val="25470914_1"/>
  </w:docVars>
  <w:rsids>
    <w:rsidRoot w:val="00A24B45"/>
    <w:rsid w:val="000006C4"/>
    <w:rsid w:val="0000124C"/>
    <w:rsid w:val="0000218F"/>
    <w:rsid w:val="00002FFE"/>
    <w:rsid w:val="000040E1"/>
    <w:rsid w:val="0000450F"/>
    <w:rsid w:val="00005D90"/>
    <w:rsid w:val="000100E7"/>
    <w:rsid w:val="00010894"/>
    <w:rsid w:val="00010F97"/>
    <w:rsid w:val="00011814"/>
    <w:rsid w:val="00012052"/>
    <w:rsid w:val="00012C42"/>
    <w:rsid w:val="00012FC0"/>
    <w:rsid w:val="00016D88"/>
    <w:rsid w:val="00017BDB"/>
    <w:rsid w:val="0002037D"/>
    <w:rsid w:val="00020913"/>
    <w:rsid w:val="00020B19"/>
    <w:rsid w:val="00022AD0"/>
    <w:rsid w:val="00022DF7"/>
    <w:rsid w:val="00023479"/>
    <w:rsid w:val="0002549D"/>
    <w:rsid w:val="00025CC7"/>
    <w:rsid w:val="00026D8A"/>
    <w:rsid w:val="00030268"/>
    <w:rsid w:val="00030558"/>
    <w:rsid w:val="00031590"/>
    <w:rsid w:val="00032AA9"/>
    <w:rsid w:val="00032F6D"/>
    <w:rsid w:val="000343CE"/>
    <w:rsid w:val="000371D6"/>
    <w:rsid w:val="00037613"/>
    <w:rsid w:val="00040129"/>
    <w:rsid w:val="00040B70"/>
    <w:rsid w:val="00041B10"/>
    <w:rsid w:val="00042AFC"/>
    <w:rsid w:val="00042E1C"/>
    <w:rsid w:val="000438BA"/>
    <w:rsid w:val="0004400C"/>
    <w:rsid w:val="000451F5"/>
    <w:rsid w:val="00045463"/>
    <w:rsid w:val="000454D3"/>
    <w:rsid w:val="00045824"/>
    <w:rsid w:val="000470DF"/>
    <w:rsid w:val="000504EE"/>
    <w:rsid w:val="00050CE4"/>
    <w:rsid w:val="000520BF"/>
    <w:rsid w:val="000532CE"/>
    <w:rsid w:val="00053606"/>
    <w:rsid w:val="00055960"/>
    <w:rsid w:val="000564AA"/>
    <w:rsid w:val="00057DE1"/>
    <w:rsid w:val="0006334D"/>
    <w:rsid w:val="00063E78"/>
    <w:rsid w:val="000645AD"/>
    <w:rsid w:val="00064C68"/>
    <w:rsid w:val="00065473"/>
    <w:rsid w:val="000654C8"/>
    <w:rsid w:val="000662A3"/>
    <w:rsid w:val="00066665"/>
    <w:rsid w:val="000666B7"/>
    <w:rsid w:val="000668F1"/>
    <w:rsid w:val="00066B9B"/>
    <w:rsid w:val="0007027D"/>
    <w:rsid w:val="00070EB6"/>
    <w:rsid w:val="00073971"/>
    <w:rsid w:val="000743CE"/>
    <w:rsid w:val="00075E14"/>
    <w:rsid w:val="00080856"/>
    <w:rsid w:val="00080D55"/>
    <w:rsid w:val="00081C05"/>
    <w:rsid w:val="00082C8A"/>
    <w:rsid w:val="00084A35"/>
    <w:rsid w:val="00085B24"/>
    <w:rsid w:val="0008784F"/>
    <w:rsid w:val="00087BD2"/>
    <w:rsid w:val="00090520"/>
    <w:rsid w:val="00091656"/>
    <w:rsid w:val="00093BB3"/>
    <w:rsid w:val="0009440E"/>
    <w:rsid w:val="00094803"/>
    <w:rsid w:val="000956A8"/>
    <w:rsid w:val="00095700"/>
    <w:rsid w:val="00095FAE"/>
    <w:rsid w:val="000A3F30"/>
    <w:rsid w:val="000A423E"/>
    <w:rsid w:val="000A4F06"/>
    <w:rsid w:val="000A57D7"/>
    <w:rsid w:val="000B1765"/>
    <w:rsid w:val="000B1A43"/>
    <w:rsid w:val="000B2281"/>
    <w:rsid w:val="000B36EC"/>
    <w:rsid w:val="000B63AA"/>
    <w:rsid w:val="000B70B7"/>
    <w:rsid w:val="000C11A9"/>
    <w:rsid w:val="000C240F"/>
    <w:rsid w:val="000C3441"/>
    <w:rsid w:val="000C3E72"/>
    <w:rsid w:val="000C53D5"/>
    <w:rsid w:val="000C67CA"/>
    <w:rsid w:val="000C6ACA"/>
    <w:rsid w:val="000D177B"/>
    <w:rsid w:val="000D1D93"/>
    <w:rsid w:val="000D28B1"/>
    <w:rsid w:val="000D2F2F"/>
    <w:rsid w:val="000D3324"/>
    <w:rsid w:val="000D35A2"/>
    <w:rsid w:val="000D555F"/>
    <w:rsid w:val="000D5852"/>
    <w:rsid w:val="000D63BF"/>
    <w:rsid w:val="000D68FD"/>
    <w:rsid w:val="000E0D74"/>
    <w:rsid w:val="000E13DB"/>
    <w:rsid w:val="000E2630"/>
    <w:rsid w:val="000E27BF"/>
    <w:rsid w:val="000E282D"/>
    <w:rsid w:val="000E2B48"/>
    <w:rsid w:val="000E453E"/>
    <w:rsid w:val="000E4669"/>
    <w:rsid w:val="000E6D47"/>
    <w:rsid w:val="000E70C8"/>
    <w:rsid w:val="000E77BA"/>
    <w:rsid w:val="000F0AC9"/>
    <w:rsid w:val="000F111E"/>
    <w:rsid w:val="000F151A"/>
    <w:rsid w:val="000F1E60"/>
    <w:rsid w:val="000F3540"/>
    <w:rsid w:val="000F3C48"/>
    <w:rsid w:val="000F3CDC"/>
    <w:rsid w:val="000F3FD5"/>
    <w:rsid w:val="000F4B0D"/>
    <w:rsid w:val="000F59AC"/>
    <w:rsid w:val="000F6092"/>
    <w:rsid w:val="000F75BC"/>
    <w:rsid w:val="000F7C8A"/>
    <w:rsid w:val="00101E45"/>
    <w:rsid w:val="001022C0"/>
    <w:rsid w:val="0010248B"/>
    <w:rsid w:val="00102A5E"/>
    <w:rsid w:val="00103163"/>
    <w:rsid w:val="00104E3E"/>
    <w:rsid w:val="00105150"/>
    <w:rsid w:val="001052D8"/>
    <w:rsid w:val="00105798"/>
    <w:rsid w:val="00105DA7"/>
    <w:rsid w:val="00107F1E"/>
    <w:rsid w:val="00111316"/>
    <w:rsid w:val="001129D5"/>
    <w:rsid w:val="00114691"/>
    <w:rsid w:val="00114812"/>
    <w:rsid w:val="00114BBE"/>
    <w:rsid w:val="00116071"/>
    <w:rsid w:val="00116088"/>
    <w:rsid w:val="001164DB"/>
    <w:rsid w:val="00116851"/>
    <w:rsid w:val="001172C7"/>
    <w:rsid w:val="001208BF"/>
    <w:rsid w:val="001228F5"/>
    <w:rsid w:val="00122BF3"/>
    <w:rsid w:val="00125548"/>
    <w:rsid w:val="00127629"/>
    <w:rsid w:val="0012792D"/>
    <w:rsid w:val="0013026E"/>
    <w:rsid w:val="001302B5"/>
    <w:rsid w:val="00130C98"/>
    <w:rsid w:val="001311A3"/>
    <w:rsid w:val="00131337"/>
    <w:rsid w:val="0013165C"/>
    <w:rsid w:val="00131772"/>
    <w:rsid w:val="00131E88"/>
    <w:rsid w:val="00131FD9"/>
    <w:rsid w:val="0013275A"/>
    <w:rsid w:val="00132BFA"/>
    <w:rsid w:val="00133355"/>
    <w:rsid w:val="00134A48"/>
    <w:rsid w:val="00134E0F"/>
    <w:rsid w:val="001412B3"/>
    <w:rsid w:val="00141318"/>
    <w:rsid w:val="00141D35"/>
    <w:rsid w:val="00142C88"/>
    <w:rsid w:val="0014343B"/>
    <w:rsid w:val="00144717"/>
    <w:rsid w:val="00144E38"/>
    <w:rsid w:val="00145DC0"/>
    <w:rsid w:val="0014668D"/>
    <w:rsid w:val="001466C5"/>
    <w:rsid w:val="00146F96"/>
    <w:rsid w:val="001504B9"/>
    <w:rsid w:val="001504FF"/>
    <w:rsid w:val="001505DF"/>
    <w:rsid w:val="00150837"/>
    <w:rsid w:val="001521A8"/>
    <w:rsid w:val="0015311C"/>
    <w:rsid w:val="00153520"/>
    <w:rsid w:val="00153B49"/>
    <w:rsid w:val="001544EE"/>
    <w:rsid w:val="00154B07"/>
    <w:rsid w:val="0015520C"/>
    <w:rsid w:val="001561C3"/>
    <w:rsid w:val="00156CFD"/>
    <w:rsid w:val="00157474"/>
    <w:rsid w:val="00157AAC"/>
    <w:rsid w:val="00157B1E"/>
    <w:rsid w:val="00161B10"/>
    <w:rsid w:val="00163A32"/>
    <w:rsid w:val="00164124"/>
    <w:rsid w:val="0016446A"/>
    <w:rsid w:val="00165A81"/>
    <w:rsid w:val="00166503"/>
    <w:rsid w:val="001666E4"/>
    <w:rsid w:val="00166BC1"/>
    <w:rsid w:val="001711AC"/>
    <w:rsid w:val="00171B98"/>
    <w:rsid w:val="00172364"/>
    <w:rsid w:val="001729C2"/>
    <w:rsid w:val="00173C54"/>
    <w:rsid w:val="00175922"/>
    <w:rsid w:val="00175D2B"/>
    <w:rsid w:val="00175E6C"/>
    <w:rsid w:val="00175EE0"/>
    <w:rsid w:val="00177861"/>
    <w:rsid w:val="00177997"/>
    <w:rsid w:val="00177EBA"/>
    <w:rsid w:val="00180916"/>
    <w:rsid w:val="00180E0E"/>
    <w:rsid w:val="00181594"/>
    <w:rsid w:val="00181B50"/>
    <w:rsid w:val="00181F87"/>
    <w:rsid w:val="0018238E"/>
    <w:rsid w:val="00183041"/>
    <w:rsid w:val="00183FDA"/>
    <w:rsid w:val="0018452C"/>
    <w:rsid w:val="001852B4"/>
    <w:rsid w:val="001867C1"/>
    <w:rsid w:val="00190ABE"/>
    <w:rsid w:val="00190DB7"/>
    <w:rsid w:val="00191A91"/>
    <w:rsid w:val="00192003"/>
    <w:rsid w:val="001921FF"/>
    <w:rsid w:val="001927EE"/>
    <w:rsid w:val="001938C1"/>
    <w:rsid w:val="0019422C"/>
    <w:rsid w:val="00194FD7"/>
    <w:rsid w:val="00195607"/>
    <w:rsid w:val="00196778"/>
    <w:rsid w:val="001A00E3"/>
    <w:rsid w:val="001A0A29"/>
    <w:rsid w:val="001A1CF3"/>
    <w:rsid w:val="001A228A"/>
    <w:rsid w:val="001A2600"/>
    <w:rsid w:val="001A2B70"/>
    <w:rsid w:val="001A2FAE"/>
    <w:rsid w:val="001A3365"/>
    <w:rsid w:val="001A3903"/>
    <w:rsid w:val="001A53F5"/>
    <w:rsid w:val="001A61E9"/>
    <w:rsid w:val="001A7373"/>
    <w:rsid w:val="001A7566"/>
    <w:rsid w:val="001B0D39"/>
    <w:rsid w:val="001B14DF"/>
    <w:rsid w:val="001B1B64"/>
    <w:rsid w:val="001B2B53"/>
    <w:rsid w:val="001B3DA8"/>
    <w:rsid w:val="001B3F77"/>
    <w:rsid w:val="001B3FCD"/>
    <w:rsid w:val="001B4434"/>
    <w:rsid w:val="001B4E82"/>
    <w:rsid w:val="001B5DCC"/>
    <w:rsid w:val="001B7C26"/>
    <w:rsid w:val="001C06BD"/>
    <w:rsid w:val="001C0D0C"/>
    <w:rsid w:val="001C1276"/>
    <w:rsid w:val="001C2484"/>
    <w:rsid w:val="001C29A7"/>
    <w:rsid w:val="001C2C26"/>
    <w:rsid w:val="001C2D41"/>
    <w:rsid w:val="001C3B7B"/>
    <w:rsid w:val="001C44A6"/>
    <w:rsid w:val="001C454C"/>
    <w:rsid w:val="001C53E3"/>
    <w:rsid w:val="001C5FEB"/>
    <w:rsid w:val="001C6566"/>
    <w:rsid w:val="001D0522"/>
    <w:rsid w:val="001D085A"/>
    <w:rsid w:val="001D1A89"/>
    <w:rsid w:val="001D5E1D"/>
    <w:rsid w:val="001D5E38"/>
    <w:rsid w:val="001D5F8E"/>
    <w:rsid w:val="001E0890"/>
    <w:rsid w:val="001E0AF7"/>
    <w:rsid w:val="001E0C05"/>
    <w:rsid w:val="001E18D4"/>
    <w:rsid w:val="001E339C"/>
    <w:rsid w:val="001E3DBF"/>
    <w:rsid w:val="001E3EC7"/>
    <w:rsid w:val="001E4501"/>
    <w:rsid w:val="001E7497"/>
    <w:rsid w:val="001F07CE"/>
    <w:rsid w:val="001F19A6"/>
    <w:rsid w:val="001F3BC6"/>
    <w:rsid w:val="001F6643"/>
    <w:rsid w:val="001F75FE"/>
    <w:rsid w:val="001F7C4E"/>
    <w:rsid w:val="0020025A"/>
    <w:rsid w:val="00201FDA"/>
    <w:rsid w:val="00202030"/>
    <w:rsid w:val="0020225E"/>
    <w:rsid w:val="00202FDA"/>
    <w:rsid w:val="002039D6"/>
    <w:rsid w:val="00206460"/>
    <w:rsid w:val="00207719"/>
    <w:rsid w:val="00207721"/>
    <w:rsid w:val="0020781A"/>
    <w:rsid w:val="00210153"/>
    <w:rsid w:val="002113B7"/>
    <w:rsid w:val="002123F2"/>
    <w:rsid w:val="00212E90"/>
    <w:rsid w:val="00213669"/>
    <w:rsid w:val="00214A5F"/>
    <w:rsid w:val="00214FE3"/>
    <w:rsid w:val="00215418"/>
    <w:rsid w:val="00216547"/>
    <w:rsid w:val="00216E6F"/>
    <w:rsid w:val="00217F23"/>
    <w:rsid w:val="0022047B"/>
    <w:rsid w:val="00220ABF"/>
    <w:rsid w:val="00220BB5"/>
    <w:rsid w:val="00221AB7"/>
    <w:rsid w:val="00221C9D"/>
    <w:rsid w:val="00224250"/>
    <w:rsid w:val="00225CD3"/>
    <w:rsid w:val="00225D0E"/>
    <w:rsid w:val="00226C95"/>
    <w:rsid w:val="002271D2"/>
    <w:rsid w:val="00230C7C"/>
    <w:rsid w:val="002334ED"/>
    <w:rsid w:val="00233C34"/>
    <w:rsid w:val="00233DD7"/>
    <w:rsid w:val="00233F82"/>
    <w:rsid w:val="00234A1F"/>
    <w:rsid w:val="0023552E"/>
    <w:rsid w:val="00235961"/>
    <w:rsid w:val="00236100"/>
    <w:rsid w:val="0024143A"/>
    <w:rsid w:val="002415A8"/>
    <w:rsid w:val="00241AF2"/>
    <w:rsid w:val="00242CD7"/>
    <w:rsid w:val="0024329E"/>
    <w:rsid w:val="0024366D"/>
    <w:rsid w:val="002436C8"/>
    <w:rsid w:val="00243A54"/>
    <w:rsid w:val="00244D06"/>
    <w:rsid w:val="0024540D"/>
    <w:rsid w:val="0024591B"/>
    <w:rsid w:val="00252BE3"/>
    <w:rsid w:val="0025370F"/>
    <w:rsid w:val="00253F51"/>
    <w:rsid w:val="002544A0"/>
    <w:rsid w:val="00255226"/>
    <w:rsid w:val="00255A11"/>
    <w:rsid w:val="00260AD9"/>
    <w:rsid w:val="00260DA0"/>
    <w:rsid w:val="00260E5F"/>
    <w:rsid w:val="00264C8B"/>
    <w:rsid w:val="00265604"/>
    <w:rsid w:val="00267BDB"/>
    <w:rsid w:val="00270F3B"/>
    <w:rsid w:val="002724B5"/>
    <w:rsid w:val="00272E4A"/>
    <w:rsid w:val="00273399"/>
    <w:rsid w:val="002738C6"/>
    <w:rsid w:val="00275FB9"/>
    <w:rsid w:val="00276040"/>
    <w:rsid w:val="00276AF7"/>
    <w:rsid w:val="00277F1E"/>
    <w:rsid w:val="0028089A"/>
    <w:rsid w:val="00280EAC"/>
    <w:rsid w:val="00281FD5"/>
    <w:rsid w:val="002824C9"/>
    <w:rsid w:val="002832DC"/>
    <w:rsid w:val="002855E3"/>
    <w:rsid w:val="00285BB1"/>
    <w:rsid w:val="002861C2"/>
    <w:rsid w:val="002865AE"/>
    <w:rsid w:val="00287128"/>
    <w:rsid w:val="00287EA0"/>
    <w:rsid w:val="0029095C"/>
    <w:rsid w:val="002911DC"/>
    <w:rsid w:val="00293116"/>
    <w:rsid w:val="00294526"/>
    <w:rsid w:val="00294752"/>
    <w:rsid w:val="002950AE"/>
    <w:rsid w:val="00295D4D"/>
    <w:rsid w:val="00295EA8"/>
    <w:rsid w:val="002970F1"/>
    <w:rsid w:val="002A05D8"/>
    <w:rsid w:val="002A38AA"/>
    <w:rsid w:val="002A3975"/>
    <w:rsid w:val="002A3BCF"/>
    <w:rsid w:val="002A646E"/>
    <w:rsid w:val="002B08D7"/>
    <w:rsid w:val="002B3C1D"/>
    <w:rsid w:val="002B4425"/>
    <w:rsid w:val="002B5164"/>
    <w:rsid w:val="002B5341"/>
    <w:rsid w:val="002B5D12"/>
    <w:rsid w:val="002B6DF0"/>
    <w:rsid w:val="002B7B87"/>
    <w:rsid w:val="002C0AB7"/>
    <w:rsid w:val="002C1E71"/>
    <w:rsid w:val="002C2146"/>
    <w:rsid w:val="002C2FB5"/>
    <w:rsid w:val="002C5C37"/>
    <w:rsid w:val="002D1D39"/>
    <w:rsid w:val="002D21D1"/>
    <w:rsid w:val="002D31F4"/>
    <w:rsid w:val="002D323A"/>
    <w:rsid w:val="002D467C"/>
    <w:rsid w:val="002D51C0"/>
    <w:rsid w:val="002D6D8C"/>
    <w:rsid w:val="002E13E1"/>
    <w:rsid w:val="002E2CA8"/>
    <w:rsid w:val="002E3811"/>
    <w:rsid w:val="002E3EBA"/>
    <w:rsid w:val="002E44B7"/>
    <w:rsid w:val="002E54D8"/>
    <w:rsid w:val="002E6829"/>
    <w:rsid w:val="002E7AF3"/>
    <w:rsid w:val="002F010F"/>
    <w:rsid w:val="002F2A01"/>
    <w:rsid w:val="002F53A0"/>
    <w:rsid w:val="002F63E0"/>
    <w:rsid w:val="002F7389"/>
    <w:rsid w:val="003019D9"/>
    <w:rsid w:val="00301AB0"/>
    <w:rsid w:val="00303780"/>
    <w:rsid w:val="003039A7"/>
    <w:rsid w:val="00303ACB"/>
    <w:rsid w:val="00304A82"/>
    <w:rsid w:val="00305768"/>
    <w:rsid w:val="00307467"/>
    <w:rsid w:val="0030791F"/>
    <w:rsid w:val="003102DC"/>
    <w:rsid w:val="00310A8D"/>
    <w:rsid w:val="00312F01"/>
    <w:rsid w:val="00312F18"/>
    <w:rsid w:val="003134AF"/>
    <w:rsid w:val="00314228"/>
    <w:rsid w:val="00315244"/>
    <w:rsid w:val="003154FB"/>
    <w:rsid w:val="0032077C"/>
    <w:rsid w:val="003224BE"/>
    <w:rsid w:val="003226E2"/>
    <w:rsid w:val="003232BA"/>
    <w:rsid w:val="003240D5"/>
    <w:rsid w:val="003321C6"/>
    <w:rsid w:val="00333F4D"/>
    <w:rsid w:val="00334155"/>
    <w:rsid w:val="00336313"/>
    <w:rsid w:val="003369AF"/>
    <w:rsid w:val="00336B6C"/>
    <w:rsid w:val="0034108E"/>
    <w:rsid w:val="00341BB3"/>
    <w:rsid w:val="0034318C"/>
    <w:rsid w:val="00344F33"/>
    <w:rsid w:val="00345AC5"/>
    <w:rsid w:val="00345C79"/>
    <w:rsid w:val="00347D92"/>
    <w:rsid w:val="00350836"/>
    <w:rsid w:val="00350B24"/>
    <w:rsid w:val="00351263"/>
    <w:rsid w:val="00352063"/>
    <w:rsid w:val="00354316"/>
    <w:rsid w:val="00355E0C"/>
    <w:rsid w:val="00360BAA"/>
    <w:rsid w:val="003617F7"/>
    <w:rsid w:val="00361F78"/>
    <w:rsid w:val="0036207E"/>
    <w:rsid w:val="00362368"/>
    <w:rsid w:val="00362F0D"/>
    <w:rsid w:val="00364334"/>
    <w:rsid w:val="00365D0B"/>
    <w:rsid w:val="0036620D"/>
    <w:rsid w:val="0036639E"/>
    <w:rsid w:val="0036643F"/>
    <w:rsid w:val="00366991"/>
    <w:rsid w:val="00367037"/>
    <w:rsid w:val="00367BFF"/>
    <w:rsid w:val="0037099D"/>
    <w:rsid w:val="00371285"/>
    <w:rsid w:val="003716A6"/>
    <w:rsid w:val="003727FF"/>
    <w:rsid w:val="00372D22"/>
    <w:rsid w:val="00372F3C"/>
    <w:rsid w:val="00373F14"/>
    <w:rsid w:val="003759E8"/>
    <w:rsid w:val="0037697C"/>
    <w:rsid w:val="00376C1E"/>
    <w:rsid w:val="003773E3"/>
    <w:rsid w:val="00377E32"/>
    <w:rsid w:val="003809D0"/>
    <w:rsid w:val="00380DB3"/>
    <w:rsid w:val="00382EFC"/>
    <w:rsid w:val="003835B3"/>
    <w:rsid w:val="0038394B"/>
    <w:rsid w:val="00384625"/>
    <w:rsid w:val="0038485E"/>
    <w:rsid w:val="00384AD6"/>
    <w:rsid w:val="00384E85"/>
    <w:rsid w:val="00385594"/>
    <w:rsid w:val="003856ED"/>
    <w:rsid w:val="00385FDA"/>
    <w:rsid w:val="0038798D"/>
    <w:rsid w:val="00390A8E"/>
    <w:rsid w:val="0039171B"/>
    <w:rsid w:val="00391F4D"/>
    <w:rsid w:val="0039250C"/>
    <w:rsid w:val="003931EE"/>
    <w:rsid w:val="00395D93"/>
    <w:rsid w:val="00396FF9"/>
    <w:rsid w:val="00397F3E"/>
    <w:rsid w:val="003A09BD"/>
    <w:rsid w:val="003A3254"/>
    <w:rsid w:val="003A335D"/>
    <w:rsid w:val="003A3BC6"/>
    <w:rsid w:val="003A4FF8"/>
    <w:rsid w:val="003A59AE"/>
    <w:rsid w:val="003A6040"/>
    <w:rsid w:val="003B0259"/>
    <w:rsid w:val="003B1AC5"/>
    <w:rsid w:val="003B1B1D"/>
    <w:rsid w:val="003B242B"/>
    <w:rsid w:val="003B47A7"/>
    <w:rsid w:val="003B648B"/>
    <w:rsid w:val="003C0204"/>
    <w:rsid w:val="003C0A2A"/>
    <w:rsid w:val="003C0C61"/>
    <w:rsid w:val="003C0F06"/>
    <w:rsid w:val="003C1F87"/>
    <w:rsid w:val="003C2911"/>
    <w:rsid w:val="003C2B33"/>
    <w:rsid w:val="003C2DD8"/>
    <w:rsid w:val="003C4415"/>
    <w:rsid w:val="003C4E79"/>
    <w:rsid w:val="003C66BB"/>
    <w:rsid w:val="003C6D3F"/>
    <w:rsid w:val="003C74EA"/>
    <w:rsid w:val="003C792F"/>
    <w:rsid w:val="003C7C15"/>
    <w:rsid w:val="003C7C4C"/>
    <w:rsid w:val="003D010C"/>
    <w:rsid w:val="003D2364"/>
    <w:rsid w:val="003D25D8"/>
    <w:rsid w:val="003D2C2C"/>
    <w:rsid w:val="003D2C99"/>
    <w:rsid w:val="003D33AA"/>
    <w:rsid w:val="003D3C12"/>
    <w:rsid w:val="003D3C1B"/>
    <w:rsid w:val="003D3CA8"/>
    <w:rsid w:val="003D403F"/>
    <w:rsid w:val="003D4624"/>
    <w:rsid w:val="003D566D"/>
    <w:rsid w:val="003D62F1"/>
    <w:rsid w:val="003D69C9"/>
    <w:rsid w:val="003D7533"/>
    <w:rsid w:val="003E0CD4"/>
    <w:rsid w:val="003E11EA"/>
    <w:rsid w:val="003E1D34"/>
    <w:rsid w:val="003E3486"/>
    <w:rsid w:val="003E403D"/>
    <w:rsid w:val="003E4E52"/>
    <w:rsid w:val="003E5A65"/>
    <w:rsid w:val="003E5FF5"/>
    <w:rsid w:val="003E6139"/>
    <w:rsid w:val="003E6818"/>
    <w:rsid w:val="003E6ACF"/>
    <w:rsid w:val="003F02B6"/>
    <w:rsid w:val="003F0FC2"/>
    <w:rsid w:val="003F1505"/>
    <w:rsid w:val="003F161F"/>
    <w:rsid w:val="003F1B7D"/>
    <w:rsid w:val="003F2F30"/>
    <w:rsid w:val="003F3701"/>
    <w:rsid w:val="003F3D06"/>
    <w:rsid w:val="003F41D5"/>
    <w:rsid w:val="003F4522"/>
    <w:rsid w:val="003F4C15"/>
    <w:rsid w:val="003F52E0"/>
    <w:rsid w:val="003F61F7"/>
    <w:rsid w:val="003F68A9"/>
    <w:rsid w:val="003F6BD9"/>
    <w:rsid w:val="003F6D25"/>
    <w:rsid w:val="003F7616"/>
    <w:rsid w:val="003F7A13"/>
    <w:rsid w:val="00400A80"/>
    <w:rsid w:val="00401E35"/>
    <w:rsid w:val="00402450"/>
    <w:rsid w:val="00403CF9"/>
    <w:rsid w:val="0040558E"/>
    <w:rsid w:val="00405B1E"/>
    <w:rsid w:val="00405DE8"/>
    <w:rsid w:val="00406589"/>
    <w:rsid w:val="0040660A"/>
    <w:rsid w:val="00406CDC"/>
    <w:rsid w:val="004070AE"/>
    <w:rsid w:val="0040754D"/>
    <w:rsid w:val="00410794"/>
    <w:rsid w:val="00410A36"/>
    <w:rsid w:val="00411F58"/>
    <w:rsid w:val="004123BC"/>
    <w:rsid w:val="00413A14"/>
    <w:rsid w:val="0041590B"/>
    <w:rsid w:val="00416199"/>
    <w:rsid w:val="00416AF4"/>
    <w:rsid w:val="00417FCA"/>
    <w:rsid w:val="00422880"/>
    <w:rsid w:val="00423A80"/>
    <w:rsid w:val="004240DA"/>
    <w:rsid w:val="00425478"/>
    <w:rsid w:val="004254AC"/>
    <w:rsid w:val="00426400"/>
    <w:rsid w:val="004273E9"/>
    <w:rsid w:val="0043023E"/>
    <w:rsid w:val="00430418"/>
    <w:rsid w:val="0043183D"/>
    <w:rsid w:val="004325E1"/>
    <w:rsid w:val="00432F6F"/>
    <w:rsid w:val="00433719"/>
    <w:rsid w:val="00434D32"/>
    <w:rsid w:val="00434ED0"/>
    <w:rsid w:val="004368D5"/>
    <w:rsid w:val="00437774"/>
    <w:rsid w:val="00440B08"/>
    <w:rsid w:val="00440E10"/>
    <w:rsid w:val="0044132C"/>
    <w:rsid w:val="00442EA2"/>
    <w:rsid w:val="00443DB3"/>
    <w:rsid w:val="00443DBF"/>
    <w:rsid w:val="00444B60"/>
    <w:rsid w:val="00446231"/>
    <w:rsid w:val="00446272"/>
    <w:rsid w:val="004474E6"/>
    <w:rsid w:val="00451B3B"/>
    <w:rsid w:val="004533CC"/>
    <w:rsid w:val="004547AD"/>
    <w:rsid w:val="0045492B"/>
    <w:rsid w:val="00454F1F"/>
    <w:rsid w:val="00457AFC"/>
    <w:rsid w:val="00463122"/>
    <w:rsid w:val="004633BA"/>
    <w:rsid w:val="00464158"/>
    <w:rsid w:val="00464446"/>
    <w:rsid w:val="00465220"/>
    <w:rsid w:val="00465B4C"/>
    <w:rsid w:val="004709A6"/>
    <w:rsid w:val="004723B9"/>
    <w:rsid w:val="004723C7"/>
    <w:rsid w:val="004723EB"/>
    <w:rsid w:val="00472589"/>
    <w:rsid w:val="004728D1"/>
    <w:rsid w:val="00473EA9"/>
    <w:rsid w:val="00475075"/>
    <w:rsid w:val="00476875"/>
    <w:rsid w:val="00481B9A"/>
    <w:rsid w:val="00481E2E"/>
    <w:rsid w:val="0048351F"/>
    <w:rsid w:val="004835E1"/>
    <w:rsid w:val="0048417E"/>
    <w:rsid w:val="004844FF"/>
    <w:rsid w:val="00484589"/>
    <w:rsid w:val="00484C1C"/>
    <w:rsid w:val="00484DFA"/>
    <w:rsid w:val="00487213"/>
    <w:rsid w:val="00487A2B"/>
    <w:rsid w:val="004901C9"/>
    <w:rsid w:val="004904C7"/>
    <w:rsid w:val="00491DEC"/>
    <w:rsid w:val="004922CE"/>
    <w:rsid w:val="00494A86"/>
    <w:rsid w:val="004950F6"/>
    <w:rsid w:val="00495861"/>
    <w:rsid w:val="00495A77"/>
    <w:rsid w:val="00497004"/>
    <w:rsid w:val="00497B52"/>
    <w:rsid w:val="004A07EA"/>
    <w:rsid w:val="004A0DFD"/>
    <w:rsid w:val="004A2649"/>
    <w:rsid w:val="004A2FFF"/>
    <w:rsid w:val="004A31FF"/>
    <w:rsid w:val="004A385A"/>
    <w:rsid w:val="004A3E1D"/>
    <w:rsid w:val="004A42E9"/>
    <w:rsid w:val="004A550D"/>
    <w:rsid w:val="004A56C0"/>
    <w:rsid w:val="004B211A"/>
    <w:rsid w:val="004B23D9"/>
    <w:rsid w:val="004B4DC8"/>
    <w:rsid w:val="004B52BE"/>
    <w:rsid w:val="004B55CB"/>
    <w:rsid w:val="004B6364"/>
    <w:rsid w:val="004B6943"/>
    <w:rsid w:val="004B6A34"/>
    <w:rsid w:val="004B6B89"/>
    <w:rsid w:val="004B7B8D"/>
    <w:rsid w:val="004C3AA0"/>
    <w:rsid w:val="004C6D44"/>
    <w:rsid w:val="004C6F0E"/>
    <w:rsid w:val="004C7FCF"/>
    <w:rsid w:val="004D1520"/>
    <w:rsid w:val="004D2EB7"/>
    <w:rsid w:val="004D3D01"/>
    <w:rsid w:val="004D4487"/>
    <w:rsid w:val="004D4506"/>
    <w:rsid w:val="004D48C8"/>
    <w:rsid w:val="004D6B2D"/>
    <w:rsid w:val="004E027E"/>
    <w:rsid w:val="004E050F"/>
    <w:rsid w:val="004E139B"/>
    <w:rsid w:val="004E13FD"/>
    <w:rsid w:val="004E1700"/>
    <w:rsid w:val="004E38DD"/>
    <w:rsid w:val="004E3DBB"/>
    <w:rsid w:val="004E3EF8"/>
    <w:rsid w:val="004E4489"/>
    <w:rsid w:val="004E4A45"/>
    <w:rsid w:val="004E4DAC"/>
    <w:rsid w:val="004E7449"/>
    <w:rsid w:val="004E7DCA"/>
    <w:rsid w:val="004F14FA"/>
    <w:rsid w:val="004F2338"/>
    <w:rsid w:val="004F2606"/>
    <w:rsid w:val="004F4FFC"/>
    <w:rsid w:val="004F5DF7"/>
    <w:rsid w:val="004F7098"/>
    <w:rsid w:val="005006B3"/>
    <w:rsid w:val="00502C3F"/>
    <w:rsid w:val="0050520C"/>
    <w:rsid w:val="00506491"/>
    <w:rsid w:val="005065FC"/>
    <w:rsid w:val="00507160"/>
    <w:rsid w:val="005072B6"/>
    <w:rsid w:val="005076AF"/>
    <w:rsid w:val="005107B3"/>
    <w:rsid w:val="005118F0"/>
    <w:rsid w:val="00512FE6"/>
    <w:rsid w:val="005138CA"/>
    <w:rsid w:val="00513A00"/>
    <w:rsid w:val="00517CDB"/>
    <w:rsid w:val="0052005D"/>
    <w:rsid w:val="00521343"/>
    <w:rsid w:val="00521D84"/>
    <w:rsid w:val="005225D4"/>
    <w:rsid w:val="0052279D"/>
    <w:rsid w:val="00522ADF"/>
    <w:rsid w:val="00524561"/>
    <w:rsid w:val="0052487D"/>
    <w:rsid w:val="00524EB3"/>
    <w:rsid w:val="005269B8"/>
    <w:rsid w:val="005272DB"/>
    <w:rsid w:val="00531815"/>
    <w:rsid w:val="00531FD7"/>
    <w:rsid w:val="00532167"/>
    <w:rsid w:val="00532450"/>
    <w:rsid w:val="00532A17"/>
    <w:rsid w:val="00532C63"/>
    <w:rsid w:val="00532DFF"/>
    <w:rsid w:val="00533179"/>
    <w:rsid w:val="005335E1"/>
    <w:rsid w:val="00534885"/>
    <w:rsid w:val="00534A1B"/>
    <w:rsid w:val="00534CB0"/>
    <w:rsid w:val="00535AA0"/>
    <w:rsid w:val="00536050"/>
    <w:rsid w:val="005363EF"/>
    <w:rsid w:val="005366DA"/>
    <w:rsid w:val="005371B1"/>
    <w:rsid w:val="005403E2"/>
    <w:rsid w:val="0054219D"/>
    <w:rsid w:val="00542DAF"/>
    <w:rsid w:val="00543B8C"/>
    <w:rsid w:val="00543DE6"/>
    <w:rsid w:val="005440DF"/>
    <w:rsid w:val="005446F5"/>
    <w:rsid w:val="00545725"/>
    <w:rsid w:val="00545A98"/>
    <w:rsid w:val="00546851"/>
    <w:rsid w:val="00546FF0"/>
    <w:rsid w:val="00551954"/>
    <w:rsid w:val="005519D5"/>
    <w:rsid w:val="00551A5B"/>
    <w:rsid w:val="005531D7"/>
    <w:rsid w:val="00553D9B"/>
    <w:rsid w:val="0055702F"/>
    <w:rsid w:val="00560C80"/>
    <w:rsid w:val="00560E3B"/>
    <w:rsid w:val="00561806"/>
    <w:rsid w:val="00563FB1"/>
    <w:rsid w:val="0056408F"/>
    <w:rsid w:val="00564D5F"/>
    <w:rsid w:val="00565124"/>
    <w:rsid w:val="005668EC"/>
    <w:rsid w:val="00570983"/>
    <w:rsid w:val="0057143D"/>
    <w:rsid w:val="00571921"/>
    <w:rsid w:val="00572262"/>
    <w:rsid w:val="005726F9"/>
    <w:rsid w:val="00572EA0"/>
    <w:rsid w:val="00573E02"/>
    <w:rsid w:val="00574C13"/>
    <w:rsid w:val="00575C26"/>
    <w:rsid w:val="00577366"/>
    <w:rsid w:val="0058036D"/>
    <w:rsid w:val="005811AF"/>
    <w:rsid w:val="00581685"/>
    <w:rsid w:val="00581EC6"/>
    <w:rsid w:val="00582482"/>
    <w:rsid w:val="00583685"/>
    <w:rsid w:val="0058430D"/>
    <w:rsid w:val="00585220"/>
    <w:rsid w:val="00590CA0"/>
    <w:rsid w:val="00590ED0"/>
    <w:rsid w:val="00591DE5"/>
    <w:rsid w:val="005929E6"/>
    <w:rsid w:val="00594200"/>
    <w:rsid w:val="00594599"/>
    <w:rsid w:val="00594CF4"/>
    <w:rsid w:val="00596473"/>
    <w:rsid w:val="005971DB"/>
    <w:rsid w:val="005A0E26"/>
    <w:rsid w:val="005A0EB5"/>
    <w:rsid w:val="005A1695"/>
    <w:rsid w:val="005A2C00"/>
    <w:rsid w:val="005A3BAD"/>
    <w:rsid w:val="005A472F"/>
    <w:rsid w:val="005A499E"/>
    <w:rsid w:val="005A6B7A"/>
    <w:rsid w:val="005B0730"/>
    <w:rsid w:val="005B1F26"/>
    <w:rsid w:val="005B5E5B"/>
    <w:rsid w:val="005B6020"/>
    <w:rsid w:val="005B686D"/>
    <w:rsid w:val="005B6B32"/>
    <w:rsid w:val="005C0028"/>
    <w:rsid w:val="005C00FA"/>
    <w:rsid w:val="005C09C3"/>
    <w:rsid w:val="005C2CD8"/>
    <w:rsid w:val="005C3DF7"/>
    <w:rsid w:val="005C5173"/>
    <w:rsid w:val="005C51EF"/>
    <w:rsid w:val="005C5AD2"/>
    <w:rsid w:val="005D0197"/>
    <w:rsid w:val="005D0EB4"/>
    <w:rsid w:val="005D1980"/>
    <w:rsid w:val="005D1B1B"/>
    <w:rsid w:val="005D3451"/>
    <w:rsid w:val="005D3526"/>
    <w:rsid w:val="005D422D"/>
    <w:rsid w:val="005D574E"/>
    <w:rsid w:val="005D6AD4"/>
    <w:rsid w:val="005D6FC3"/>
    <w:rsid w:val="005D7963"/>
    <w:rsid w:val="005E03A3"/>
    <w:rsid w:val="005E05E0"/>
    <w:rsid w:val="005E0674"/>
    <w:rsid w:val="005E1077"/>
    <w:rsid w:val="005E1699"/>
    <w:rsid w:val="005E2885"/>
    <w:rsid w:val="005E37FD"/>
    <w:rsid w:val="005E4F88"/>
    <w:rsid w:val="005E6697"/>
    <w:rsid w:val="005E761A"/>
    <w:rsid w:val="005F0493"/>
    <w:rsid w:val="005F141B"/>
    <w:rsid w:val="005F1745"/>
    <w:rsid w:val="005F39CC"/>
    <w:rsid w:val="005F40D4"/>
    <w:rsid w:val="005F4636"/>
    <w:rsid w:val="005F5079"/>
    <w:rsid w:val="005F6FB0"/>
    <w:rsid w:val="005F7870"/>
    <w:rsid w:val="0060106E"/>
    <w:rsid w:val="006020DE"/>
    <w:rsid w:val="00603A3B"/>
    <w:rsid w:val="00603EBF"/>
    <w:rsid w:val="0060493B"/>
    <w:rsid w:val="0060626A"/>
    <w:rsid w:val="00606B4D"/>
    <w:rsid w:val="00611465"/>
    <w:rsid w:val="00612727"/>
    <w:rsid w:val="006128EA"/>
    <w:rsid w:val="00613852"/>
    <w:rsid w:val="00613C99"/>
    <w:rsid w:val="006159C6"/>
    <w:rsid w:val="006160C1"/>
    <w:rsid w:val="0061726A"/>
    <w:rsid w:val="00617A49"/>
    <w:rsid w:val="00620097"/>
    <w:rsid w:val="0062090D"/>
    <w:rsid w:val="00620CF6"/>
    <w:rsid w:val="006218F3"/>
    <w:rsid w:val="00622401"/>
    <w:rsid w:val="00623493"/>
    <w:rsid w:val="00623C7D"/>
    <w:rsid w:val="0062424F"/>
    <w:rsid w:val="00624421"/>
    <w:rsid w:val="006246BE"/>
    <w:rsid w:val="0062488B"/>
    <w:rsid w:val="0062542D"/>
    <w:rsid w:val="006257E1"/>
    <w:rsid w:val="0062611D"/>
    <w:rsid w:val="006300FF"/>
    <w:rsid w:val="00630BAB"/>
    <w:rsid w:val="0063108E"/>
    <w:rsid w:val="00633D24"/>
    <w:rsid w:val="00637EEE"/>
    <w:rsid w:val="00637F05"/>
    <w:rsid w:val="00641A5F"/>
    <w:rsid w:val="00642854"/>
    <w:rsid w:val="00642D01"/>
    <w:rsid w:val="00644DEF"/>
    <w:rsid w:val="00646234"/>
    <w:rsid w:val="006479B7"/>
    <w:rsid w:val="00650D88"/>
    <w:rsid w:val="0065125E"/>
    <w:rsid w:val="006518B4"/>
    <w:rsid w:val="006523F5"/>
    <w:rsid w:val="00652CDC"/>
    <w:rsid w:val="00653BEA"/>
    <w:rsid w:val="00654A2C"/>
    <w:rsid w:val="006554E8"/>
    <w:rsid w:val="006557C3"/>
    <w:rsid w:val="006566A6"/>
    <w:rsid w:val="00657076"/>
    <w:rsid w:val="00660A88"/>
    <w:rsid w:val="00661B08"/>
    <w:rsid w:val="00662892"/>
    <w:rsid w:val="00663396"/>
    <w:rsid w:val="00663543"/>
    <w:rsid w:val="0066471F"/>
    <w:rsid w:val="00664A04"/>
    <w:rsid w:val="00664D87"/>
    <w:rsid w:val="0066748D"/>
    <w:rsid w:val="00667EA9"/>
    <w:rsid w:val="00670688"/>
    <w:rsid w:val="00672D40"/>
    <w:rsid w:val="00673B61"/>
    <w:rsid w:val="00675B9D"/>
    <w:rsid w:val="006763FF"/>
    <w:rsid w:val="0067687D"/>
    <w:rsid w:val="00677D84"/>
    <w:rsid w:val="00680468"/>
    <w:rsid w:val="0068079E"/>
    <w:rsid w:val="00684053"/>
    <w:rsid w:val="006844D2"/>
    <w:rsid w:val="00684854"/>
    <w:rsid w:val="00684927"/>
    <w:rsid w:val="00684CEE"/>
    <w:rsid w:val="0068588A"/>
    <w:rsid w:val="0068601C"/>
    <w:rsid w:val="00686045"/>
    <w:rsid w:val="006864A8"/>
    <w:rsid w:val="006915D8"/>
    <w:rsid w:val="0069231A"/>
    <w:rsid w:val="00692C51"/>
    <w:rsid w:val="00692D57"/>
    <w:rsid w:val="00693170"/>
    <w:rsid w:val="00693D92"/>
    <w:rsid w:val="006941B9"/>
    <w:rsid w:val="00696868"/>
    <w:rsid w:val="00697BE1"/>
    <w:rsid w:val="006A0631"/>
    <w:rsid w:val="006A1031"/>
    <w:rsid w:val="006A117E"/>
    <w:rsid w:val="006A12B7"/>
    <w:rsid w:val="006A1641"/>
    <w:rsid w:val="006A28D0"/>
    <w:rsid w:val="006A473C"/>
    <w:rsid w:val="006A496A"/>
    <w:rsid w:val="006A4BB8"/>
    <w:rsid w:val="006A4E0F"/>
    <w:rsid w:val="006A6850"/>
    <w:rsid w:val="006A6DBA"/>
    <w:rsid w:val="006A74C4"/>
    <w:rsid w:val="006B1A85"/>
    <w:rsid w:val="006B1F5F"/>
    <w:rsid w:val="006B2A8D"/>
    <w:rsid w:val="006B3098"/>
    <w:rsid w:val="006B33A4"/>
    <w:rsid w:val="006B38DC"/>
    <w:rsid w:val="006B4C4B"/>
    <w:rsid w:val="006B7B72"/>
    <w:rsid w:val="006C0635"/>
    <w:rsid w:val="006C149E"/>
    <w:rsid w:val="006C1952"/>
    <w:rsid w:val="006C2135"/>
    <w:rsid w:val="006C2E76"/>
    <w:rsid w:val="006C5285"/>
    <w:rsid w:val="006C52F6"/>
    <w:rsid w:val="006C61B7"/>
    <w:rsid w:val="006C76F3"/>
    <w:rsid w:val="006C78FE"/>
    <w:rsid w:val="006D0C3D"/>
    <w:rsid w:val="006D0F57"/>
    <w:rsid w:val="006D13F4"/>
    <w:rsid w:val="006D3D58"/>
    <w:rsid w:val="006D415E"/>
    <w:rsid w:val="006D4208"/>
    <w:rsid w:val="006D5C5C"/>
    <w:rsid w:val="006D6054"/>
    <w:rsid w:val="006D66E0"/>
    <w:rsid w:val="006D6E93"/>
    <w:rsid w:val="006D76CF"/>
    <w:rsid w:val="006D796B"/>
    <w:rsid w:val="006E0FEF"/>
    <w:rsid w:val="006E158B"/>
    <w:rsid w:val="006E1721"/>
    <w:rsid w:val="006E21DA"/>
    <w:rsid w:val="006E2824"/>
    <w:rsid w:val="006E2DFF"/>
    <w:rsid w:val="006E3F9E"/>
    <w:rsid w:val="006E432F"/>
    <w:rsid w:val="006E54A0"/>
    <w:rsid w:val="006E650E"/>
    <w:rsid w:val="006E6EC8"/>
    <w:rsid w:val="006E6F35"/>
    <w:rsid w:val="006F4D9A"/>
    <w:rsid w:val="006F655A"/>
    <w:rsid w:val="007034D8"/>
    <w:rsid w:val="0070352D"/>
    <w:rsid w:val="0070397F"/>
    <w:rsid w:val="00704DAB"/>
    <w:rsid w:val="00705AFD"/>
    <w:rsid w:val="00706C74"/>
    <w:rsid w:val="00707786"/>
    <w:rsid w:val="00710202"/>
    <w:rsid w:val="00710A19"/>
    <w:rsid w:val="00710EAE"/>
    <w:rsid w:val="0071231F"/>
    <w:rsid w:val="00714222"/>
    <w:rsid w:val="00716992"/>
    <w:rsid w:val="007176D7"/>
    <w:rsid w:val="007176F5"/>
    <w:rsid w:val="00717AD5"/>
    <w:rsid w:val="00717BBA"/>
    <w:rsid w:val="0072012E"/>
    <w:rsid w:val="0072048A"/>
    <w:rsid w:val="0072055C"/>
    <w:rsid w:val="00722EEC"/>
    <w:rsid w:val="00723A2F"/>
    <w:rsid w:val="00724105"/>
    <w:rsid w:val="0072428C"/>
    <w:rsid w:val="00724997"/>
    <w:rsid w:val="007262BF"/>
    <w:rsid w:val="00726B0B"/>
    <w:rsid w:val="00731F26"/>
    <w:rsid w:val="0073389C"/>
    <w:rsid w:val="007341C3"/>
    <w:rsid w:val="007342C7"/>
    <w:rsid w:val="00734CE5"/>
    <w:rsid w:val="00736D9D"/>
    <w:rsid w:val="00737075"/>
    <w:rsid w:val="0074005D"/>
    <w:rsid w:val="007402DD"/>
    <w:rsid w:val="00740A47"/>
    <w:rsid w:val="00741021"/>
    <w:rsid w:val="00741497"/>
    <w:rsid w:val="00741E5F"/>
    <w:rsid w:val="0074210A"/>
    <w:rsid w:val="00742319"/>
    <w:rsid w:val="00742503"/>
    <w:rsid w:val="007427F0"/>
    <w:rsid w:val="00742961"/>
    <w:rsid w:val="00742C0C"/>
    <w:rsid w:val="007473BE"/>
    <w:rsid w:val="00747CEE"/>
    <w:rsid w:val="0075364B"/>
    <w:rsid w:val="00755352"/>
    <w:rsid w:val="007554BA"/>
    <w:rsid w:val="00755E2F"/>
    <w:rsid w:val="00756464"/>
    <w:rsid w:val="00756835"/>
    <w:rsid w:val="007607A3"/>
    <w:rsid w:val="007622E2"/>
    <w:rsid w:val="007629B9"/>
    <w:rsid w:val="007636DF"/>
    <w:rsid w:val="00764106"/>
    <w:rsid w:val="00764C13"/>
    <w:rsid w:val="00765101"/>
    <w:rsid w:val="00767B74"/>
    <w:rsid w:val="00770218"/>
    <w:rsid w:val="00770EC2"/>
    <w:rsid w:val="0077108A"/>
    <w:rsid w:val="00772AED"/>
    <w:rsid w:val="00773237"/>
    <w:rsid w:val="007755F4"/>
    <w:rsid w:val="00775E4D"/>
    <w:rsid w:val="0077687D"/>
    <w:rsid w:val="00776C5D"/>
    <w:rsid w:val="0077756C"/>
    <w:rsid w:val="00777A39"/>
    <w:rsid w:val="007802E1"/>
    <w:rsid w:val="0078055D"/>
    <w:rsid w:val="00780FA9"/>
    <w:rsid w:val="00781ADE"/>
    <w:rsid w:val="00782912"/>
    <w:rsid w:val="007838C5"/>
    <w:rsid w:val="00783A3F"/>
    <w:rsid w:val="00783ADC"/>
    <w:rsid w:val="00784D03"/>
    <w:rsid w:val="00785844"/>
    <w:rsid w:val="00786B12"/>
    <w:rsid w:val="00790442"/>
    <w:rsid w:val="0079049D"/>
    <w:rsid w:val="0079051B"/>
    <w:rsid w:val="00790DF3"/>
    <w:rsid w:val="007945E9"/>
    <w:rsid w:val="00794715"/>
    <w:rsid w:val="0079504D"/>
    <w:rsid w:val="007966CA"/>
    <w:rsid w:val="007A1E46"/>
    <w:rsid w:val="007A3277"/>
    <w:rsid w:val="007A32B2"/>
    <w:rsid w:val="007A3E9E"/>
    <w:rsid w:val="007A4816"/>
    <w:rsid w:val="007A59A8"/>
    <w:rsid w:val="007A6D31"/>
    <w:rsid w:val="007B0170"/>
    <w:rsid w:val="007B05D1"/>
    <w:rsid w:val="007B0F6C"/>
    <w:rsid w:val="007B60AE"/>
    <w:rsid w:val="007B6BBB"/>
    <w:rsid w:val="007B6C51"/>
    <w:rsid w:val="007B767E"/>
    <w:rsid w:val="007C0311"/>
    <w:rsid w:val="007C2BBA"/>
    <w:rsid w:val="007C3B55"/>
    <w:rsid w:val="007C3DF0"/>
    <w:rsid w:val="007C4DEE"/>
    <w:rsid w:val="007C55F0"/>
    <w:rsid w:val="007C6982"/>
    <w:rsid w:val="007C6CEE"/>
    <w:rsid w:val="007D1D57"/>
    <w:rsid w:val="007D2491"/>
    <w:rsid w:val="007D28DB"/>
    <w:rsid w:val="007D29B4"/>
    <w:rsid w:val="007D2DD9"/>
    <w:rsid w:val="007D374E"/>
    <w:rsid w:val="007D3F35"/>
    <w:rsid w:val="007D4BA6"/>
    <w:rsid w:val="007D4F0B"/>
    <w:rsid w:val="007D75D8"/>
    <w:rsid w:val="007E2A1D"/>
    <w:rsid w:val="007E3AC4"/>
    <w:rsid w:val="007E5320"/>
    <w:rsid w:val="007E53CF"/>
    <w:rsid w:val="007E5606"/>
    <w:rsid w:val="007E6E92"/>
    <w:rsid w:val="007E71E6"/>
    <w:rsid w:val="007F1027"/>
    <w:rsid w:val="007F17BC"/>
    <w:rsid w:val="007F1933"/>
    <w:rsid w:val="007F286D"/>
    <w:rsid w:val="007F40A7"/>
    <w:rsid w:val="007F70C5"/>
    <w:rsid w:val="007F7EC2"/>
    <w:rsid w:val="007F7EF3"/>
    <w:rsid w:val="008008CD"/>
    <w:rsid w:val="00800AEE"/>
    <w:rsid w:val="00800B8E"/>
    <w:rsid w:val="00800C28"/>
    <w:rsid w:val="00800CDD"/>
    <w:rsid w:val="00800DD3"/>
    <w:rsid w:val="00801139"/>
    <w:rsid w:val="00801369"/>
    <w:rsid w:val="00802573"/>
    <w:rsid w:val="00803049"/>
    <w:rsid w:val="0080583E"/>
    <w:rsid w:val="0080658A"/>
    <w:rsid w:val="0081071B"/>
    <w:rsid w:val="00810AFF"/>
    <w:rsid w:val="00812C64"/>
    <w:rsid w:val="00812DF6"/>
    <w:rsid w:val="00814818"/>
    <w:rsid w:val="00814BCC"/>
    <w:rsid w:val="00814EEE"/>
    <w:rsid w:val="00814F8E"/>
    <w:rsid w:val="008177CD"/>
    <w:rsid w:val="00821966"/>
    <w:rsid w:val="00821CF5"/>
    <w:rsid w:val="00822A60"/>
    <w:rsid w:val="00823CD6"/>
    <w:rsid w:val="00824048"/>
    <w:rsid w:val="008243B7"/>
    <w:rsid w:val="00824B4F"/>
    <w:rsid w:val="0082738E"/>
    <w:rsid w:val="008300F0"/>
    <w:rsid w:val="008303CD"/>
    <w:rsid w:val="008306C6"/>
    <w:rsid w:val="0083198F"/>
    <w:rsid w:val="008344AF"/>
    <w:rsid w:val="00835627"/>
    <w:rsid w:val="00835BAB"/>
    <w:rsid w:val="0083673E"/>
    <w:rsid w:val="0083780C"/>
    <w:rsid w:val="00840C10"/>
    <w:rsid w:val="00843275"/>
    <w:rsid w:val="0084505E"/>
    <w:rsid w:val="00845542"/>
    <w:rsid w:val="008461F8"/>
    <w:rsid w:val="00846284"/>
    <w:rsid w:val="008465E3"/>
    <w:rsid w:val="008500BE"/>
    <w:rsid w:val="00850F58"/>
    <w:rsid w:val="00853BAA"/>
    <w:rsid w:val="008541F3"/>
    <w:rsid w:val="0085447E"/>
    <w:rsid w:val="00854801"/>
    <w:rsid w:val="008557F7"/>
    <w:rsid w:val="0085769B"/>
    <w:rsid w:val="008609D0"/>
    <w:rsid w:val="00863572"/>
    <w:rsid w:val="008657FE"/>
    <w:rsid w:val="00865A32"/>
    <w:rsid w:val="00866A7E"/>
    <w:rsid w:val="00870174"/>
    <w:rsid w:val="00871AA4"/>
    <w:rsid w:val="00872987"/>
    <w:rsid w:val="00872F7E"/>
    <w:rsid w:val="00875938"/>
    <w:rsid w:val="00876B79"/>
    <w:rsid w:val="0088105D"/>
    <w:rsid w:val="008810F5"/>
    <w:rsid w:val="008814C7"/>
    <w:rsid w:val="00882762"/>
    <w:rsid w:val="00882961"/>
    <w:rsid w:val="00883153"/>
    <w:rsid w:val="008842FD"/>
    <w:rsid w:val="00885051"/>
    <w:rsid w:val="0088706F"/>
    <w:rsid w:val="00887075"/>
    <w:rsid w:val="0088737B"/>
    <w:rsid w:val="00887792"/>
    <w:rsid w:val="008916CB"/>
    <w:rsid w:val="00892ED5"/>
    <w:rsid w:val="00893731"/>
    <w:rsid w:val="00893988"/>
    <w:rsid w:val="00893D18"/>
    <w:rsid w:val="00893DCA"/>
    <w:rsid w:val="00894E5A"/>
    <w:rsid w:val="00896A66"/>
    <w:rsid w:val="00896AD5"/>
    <w:rsid w:val="00896E6B"/>
    <w:rsid w:val="008A04DA"/>
    <w:rsid w:val="008A1E9D"/>
    <w:rsid w:val="008A28D1"/>
    <w:rsid w:val="008A5927"/>
    <w:rsid w:val="008A5AF2"/>
    <w:rsid w:val="008A766D"/>
    <w:rsid w:val="008B16CB"/>
    <w:rsid w:val="008B17C2"/>
    <w:rsid w:val="008B1DDA"/>
    <w:rsid w:val="008B22B9"/>
    <w:rsid w:val="008B3CA6"/>
    <w:rsid w:val="008B527B"/>
    <w:rsid w:val="008B61DC"/>
    <w:rsid w:val="008B656D"/>
    <w:rsid w:val="008B65FD"/>
    <w:rsid w:val="008B6F36"/>
    <w:rsid w:val="008B767A"/>
    <w:rsid w:val="008B7D21"/>
    <w:rsid w:val="008C0395"/>
    <w:rsid w:val="008C06BA"/>
    <w:rsid w:val="008C1100"/>
    <w:rsid w:val="008C1862"/>
    <w:rsid w:val="008C4CD6"/>
    <w:rsid w:val="008C5C4F"/>
    <w:rsid w:val="008C5EFD"/>
    <w:rsid w:val="008C63AD"/>
    <w:rsid w:val="008C6A63"/>
    <w:rsid w:val="008D28BC"/>
    <w:rsid w:val="008D2DCD"/>
    <w:rsid w:val="008D3478"/>
    <w:rsid w:val="008D43DE"/>
    <w:rsid w:val="008D4958"/>
    <w:rsid w:val="008D677E"/>
    <w:rsid w:val="008D6F25"/>
    <w:rsid w:val="008E0FB9"/>
    <w:rsid w:val="008E14DE"/>
    <w:rsid w:val="008E16C6"/>
    <w:rsid w:val="008E3F7C"/>
    <w:rsid w:val="008E4023"/>
    <w:rsid w:val="008E464D"/>
    <w:rsid w:val="008E52CD"/>
    <w:rsid w:val="008E532F"/>
    <w:rsid w:val="008E56CE"/>
    <w:rsid w:val="008E5C01"/>
    <w:rsid w:val="008E7D87"/>
    <w:rsid w:val="008F1411"/>
    <w:rsid w:val="008F23C1"/>
    <w:rsid w:val="008F6BAE"/>
    <w:rsid w:val="008F6BC9"/>
    <w:rsid w:val="0090011A"/>
    <w:rsid w:val="00900EA5"/>
    <w:rsid w:val="00902A30"/>
    <w:rsid w:val="00903A74"/>
    <w:rsid w:val="00903E74"/>
    <w:rsid w:val="00903FEC"/>
    <w:rsid w:val="0090579E"/>
    <w:rsid w:val="009060C2"/>
    <w:rsid w:val="00907418"/>
    <w:rsid w:val="00907736"/>
    <w:rsid w:val="00907E01"/>
    <w:rsid w:val="009104F2"/>
    <w:rsid w:val="00910CCB"/>
    <w:rsid w:val="009114B4"/>
    <w:rsid w:val="00913345"/>
    <w:rsid w:val="00913922"/>
    <w:rsid w:val="00913DBC"/>
    <w:rsid w:val="00914669"/>
    <w:rsid w:val="009148DF"/>
    <w:rsid w:val="0091581D"/>
    <w:rsid w:val="009162E8"/>
    <w:rsid w:val="009163F3"/>
    <w:rsid w:val="00916DE8"/>
    <w:rsid w:val="009179F3"/>
    <w:rsid w:val="00921C13"/>
    <w:rsid w:val="00922A2E"/>
    <w:rsid w:val="00923012"/>
    <w:rsid w:val="009239B0"/>
    <w:rsid w:val="00924CFF"/>
    <w:rsid w:val="00926241"/>
    <w:rsid w:val="00930B54"/>
    <w:rsid w:val="00930D8B"/>
    <w:rsid w:val="00930EE8"/>
    <w:rsid w:val="00931530"/>
    <w:rsid w:val="009322D7"/>
    <w:rsid w:val="009326E0"/>
    <w:rsid w:val="00932C5C"/>
    <w:rsid w:val="00934AC6"/>
    <w:rsid w:val="00935C6C"/>
    <w:rsid w:val="00935D8F"/>
    <w:rsid w:val="0093643A"/>
    <w:rsid w:val="00941F50"/>
    <w:rsid w:val="009423F0"/>
    <w:rsid w:val="00945466"/>
    <w:rsid w:val="00947DB4"/>
    <w:rsid w:val="00950C20"/>
    <w:rsid w:val="00951912"/>
    <w:rsid w:val="0095344B"/>
    <w:rsid w:val="00953F08"/>
    <w:rsid w:val="0095580B"/>
    <w:rsid w:val="009562CA"/>
    <w:rsid w:val="00956FB2"/>
    <w:rsid w:val="00957FD7"/>
    <w:rsid w:val="00961BEA"/>
    <w:rsid w:val="00962291"/>
    <w:rsid w:val="0096355A"/>
    <w:rsid w:val="00963879"/>
    <w:rsid w:val="00963C9E"/>
    <w:rsid w:val="00964014"/>
    <w:rsid w:val="009654D5"/>
    <w:rsid w:val="00965F0D"/>
    <w:rsid w:val="00966A43"/>
    <w:rsid w:val="00966DDB"/>
    <w:rsid w:val="00967B94"/>
    <w:rsid w:val="00967E06"/>
    <w:rsid w:val="00970A49"/>
    <w:rsid w:val="00971463"/>
    <w:rsid w:val="0097259A"/>
    <w:rsid w:val="00972D0C"/>
    <w:rsid w:val="009736BB"/>
    <w:rsid w:val="00973A3D"/>
    <w:rsid w:val="009743C5"/>
    <w:rsid w:val="00977084"/>
    <w:rsid w:val="00982490"/>
    <w:rsid w:val="00982BED"/>
    <w:rsid w:val="009835DE"/>
    <w:rsid w:val="00983D96"/>
    <w:rsid w:val="00986F1E"/>
    <w:rsid w:val="00987438"/>
    <w:rsid w:val="00987A3B"/>
    <w:rsid w:val="009918A3"/>
    <w:rsid w:val="00991F01"/>
    <w:rsid w:val="00992F93"/>
    <w:rsid w:val="009934F5"/>
    <w:rsid w:val="009937D0"/>
    <w:rsid w:val="00993EE4"/>
    <w:rsid w:val="0099406C"/>
    <w:rsid w:val="009940B9"/>
    <w:rsid w:val="0099668C"/>
    <w:rsid w:val="0099752D"/>
    <w:rsid w:val="00997957"/>
    <w:rsid w:val="00997F35"/>
    <w:rsid w:val="009A0C92"/>
    <w:rsid w:val="009A0CE1"/>
    <w:rsid w:val="009A0D30"/>
    <w:rsid w:val="009A1EDC"/>
    <w:rsid w:val="009A28DF"/>
    <w:rsid w:val="009A34AA"/>
    <w:rsid w:val="009A38E5"/>
    <w:rsid w:val="009A3DEE"/>
    <w:rsid w:val="009A690B"/>
    <w:rsid w:val="009A77D7"/>
    <w:rsid w:val="009B0B0A"/>
    <w:rsid w:val="009B0C17"/>
    <w:rsid w:val="009B12BA"/>
    <w:rsid w:val="009B2517"/>
    <w:rsid w:val="009B4610"/>
    <w:rsid w:val="009B4F48"/>
    <w:rsid w:val="009B56A9"/>
    <w:rsid w:val="009B5EE5"/>
    <w:rsid w:val="009B615B"/>
    <w:rsid w:val="009B7393"/>
    <w:rsid w:val="009B7B2B"/>
    <w:rsid w:val="009C01BA"/>
    <w:rsid w:val="009C0BAD"/>
    <w:rsid w:val="009C247E"/>
    <w:rsid w:val="009C43D0"/>
    <w:rsid w:val="009C45E3"/>
    <w:rsid w:val="009C527C"/>
    <w:rsid w:val="009C593A"/>
    <w:rsid w:val="009C5CF4"/>
    <w:rsid w:val="009C6471"/>
    <w:rsid w:val="009C6622"/>
    <w:rsid w:val="009D161C"/>
    <w:rsid w:val="009D4652"/>
    <w:rsid w:val="009D4CA9"/>
    <w:rsid w:val="009D5236"/>
    <w:rsid w:val="009D7031"/>
    <w:rsid w:val="009D757F"/>
    <w:rsid w:val="009D78CC"/>
    <w:rsid w:val="009D7DC1"/>
    <w:rsid w:val="009E2FC0"/>
    <w:rsid w:val="009E38A6"/>
    <w:rsid w:val="009E3EDD"/>
    <w:rsid w:val="009E421A"/>
    <w:rsid w:val="009E4F05"/>
    <w:rsid w:val="009E6564"/>
    <w:rsid w:val="009E6D72"/>
    <w:rsid w:val="009F14E4"/>
    <w:rsid w:val="009F1F9B"/>
    <w:rsid w:val="009F2580"/>
    <w:rsid w:val="009F280D"/>
    <w:rsid w:val="009F4085"/>
    <w:rsid w:val="009F48A4"/>
    <w:rsid w:val="009F58AE"/>
    <w:rsid w:val="009F6AEF"/>
    <w:rsid w:val="009F6FE3"/>
    <w:rsid w:val="009F72D0"/>
    <w:rsid w:val="00A001EB"/>
    <w:rsid w:val="00A00A4F"/>
    <w:rsid w:val="00A03DD5"/>
    <w:rsid w:val="00A04389"/>
    <w:rsid w:val="00A04951"/>
    <w:rsid w:val="00A06CF2"/>
    <w:rsid w:val="00A10AD1"/>
    <w:rsid w:val="00A11D2B"/>
    <w:rsid w:val="00A12DBB"/>
    <w:rsid w:val="00A138AD"/>
    <w:rsid w:val="00A154F1"/>
    <w:rsid w:val="00A15518"/>
    <w:rsid w:val="00A161D6"/>
    <w:rsid w:val="00A1685E"/>
    <w:rsid w:val="00A17366"/>
    <w:rsid w:val="00A20328"/>
    <w:rsid w:val="00A21093"/>
    <w:rsid w:val="00A21164"/>
    <w:rsid w:val="00A24017"/>
    <w:rsid w:val="00A2488E"/>
    <w:rsid w:val="00A24B45"/>
    <w:rsid w:val="00A24DFF"/>
    <w:rsid w:val="00A25E69"/>
    <w:rsid w:val="00A25F2B"/>
    <w:rsid w:val="00A2656E"/>
    <w:rsid w:val="00A26BF5"/>
    <w:rsid w:val="00A26E31"/>
    <w:rsid w:val="00A2759D"/>
    <w:rsid w:val="00A27E90"/>
    <w:rsid w:val="00A30710"/>
    <w:rsid w:val="00A30C50"/>
    <w:rsid w:val="00A30F09"/>
    <w:rsid w:val="00A31E88"/>
    <w:rsid w:val="00A32088"/>
    <w:rsid w:val="00A331F3"/>
    <w:rsid w:val="00A332F9"/>
    <w:rsid w:val="00A34D02"/>
    <w:rsid w:val="00A36796"/>
    <w:rsid w:val="00A36C0B"/>
    <w:rsid w:val="00A3796D"/>
    <w:rsid w:val="00A40F6F"/>
    <w:rsid w:val="00A41075"/>
    <w:rsid w:val="00A4177C"/>
    <w:rsid w:val="00A420DD"/>
    <w:rsid w:val="00A42122"/>
    <w:rsid w:val="00A425F6"/>
    <w:rsid w:val="00A42AF2"/>
    <w:rsid w:val="00A43DCE"/>
    <w:rsid w:val="00A45383"/>
    <w:rsid w:val="00A47507"/>
    <w:rsid w:val="00A475B8"/>
    <w:rsid w:val="00A4791B"/>
    <w:rsid w:val="00A5131E"/>
    <w:rsid w:val="00A51A58"/>
    <w:rsid w:val="00A51FB7"/>
    <w:rsid w:val="00A53DF0"/>
    <w:rsid w:val="00A546A0"/>
    <w:rsid w:val="00A548E6"/>
    <w:rsid w:val="00A55172"/>
    <w:rsid w:val="00A5589D"/>
    <w:rsid w:val="00A56B4F"/>
    <w:rsid w:val="00A616A1"/>
    <w:rsid w:val="00A6173E"/>
    <w:rsid w:val="00A634B3"/>
    <w:rsid w:val="00A636A1"/>
    <w:rsid w:val="00A64E22"/>
    <w:rsid w:val="00A66640"/>
    <w:rsid w:val="00A7062B"/>
    <w:rsid w:val="00A72C87"/>
    <w:rsid w:val="00A737D1"/>
    <w:rsid w:val="00A7401D"/>
    <w:rsid w:val="00A75CD5"/>
    <w:rsid w:val="00A77B24"/>
    <w:rsid w:val="00A80231"/>
    <w:rsid w:val="00A80A3F"/>
    <w:rsid w:val="00A80B7D"/>
    <w:rsid w:val="00A826E1"/>
    <w:rsid w:val="00A82A58"/>
    <w:rsid w:val="00A85077"/>
    <w:rsid w:val="00A85909"/>
    <w:rsid w:val="00A93BFA"/>
    <w:rsid w:val="00A93FA1"/>
    <w:rsid w:val="00A94E03"/>
    <w:rsid w:val="00A95BD4"/>
    <w:rsid w:val="00A96256"/>
    <w:rsid w:val="00A965BC"/>
    <w:rsid w:val="00A979B7"/>
    <w:rsid w:val="00A97A78"/>
    <w:rsid w:val="00AA05A0"/>
    <w:rsid w:val="00AA1AC4"/>
    <w:rsid w:val="00AA1B42"/>
    <w:rsid w:val="00AA3238"/>
    <w:rsid w:val="00AA36F7"/>
    <w:rsid w:val="00AA39A3"/>
    <w:rsid w:val="00AA445E"/>
    <w:rsid w:val="00AA46C9"/>
    <w:rsid w:val="00AA4D74"/>
    <w:rsid w:val="00AA7FC8"/>
    <w:rsid w:val="00AB22B0"/>
    <w:rsid w:val="00AB2C78"/>
    <w:rsid w:val="00AB3062"/>
    <w:rsid w:val="00AB40F6"/>
    <w:rsid w:val="00AB4AD2"/>
    <w:rsid w:val="00AB5982"/>
    <w:rsid w:val="00AB5FBF"/>
    <w:rsid w:val="00AB61F4"/>
    <w:rsid w:val="00AB73D5"/>
    <w:rsid w:val="00AB7A9F"/>
    <w:rsid w:val="00AB7AF2"/>
    <w:rsid w:val="00AB7D43"/>
    <w:rsid w:val="00AC0DFA"/>
    <w:rsid w:val="00AC0FCD"/>
    <w:rsid w:val="00AC24F7"/>
    <w:rsid w:val="00AC2EA2"/>
    <w:rsid w:val="00AC50D6"/>
    <w:rsid w:val="00AC5523"/>
    <w:rsid w:val="00AC5D92"/>
    <w:rsid w:val="00AC6403"/>
    <w:rsid w:val="00AC670E"/>
    <w:rsid w:val="00AC74EC"/>
    <w:rsid w:val="00AD027B"/>
    <w:rsid w:val="00AD0AA3"/>
    <w:rsid w:val="00AD1714"/>
    <w:rsid w:val="00AD228B"/>
    <w:rsid w:val="00AD2924"/>
    <w:rsid w:val="00AD2ED0"/>
    <w:rsid w:val="00AD2ED5"/>
    <w:rsid w:val="00AD33F3"/>
    <w:rsid w:val="00AD42D9"/>
    <w:rsid w:val="00AD4C1D"/>
    <w:rsid w:val="00AD58D9"/>
    <w:rsid w:val="00AD5C15"/>
    <w:rsid w:val="00AD63F3"/>
    <w:rsid w:val="00AD6D3A"/>
    <w:rsid w:val="00AD7CCB"/>
    <w:rsid w:val="00AE00DD"/>
    <w:rsid w:val="00AE0761"/>
    <w:rsid w:val="00AE08F8"/>
    <w:rsid w:val="00AE0CA1"/>
    <w:rsid w:val="00AE0D4A"/>
    <w:rsid w:val="00AE1A21"/>
    <w:rsid w:val="00AE2569"/>
    <w:rsid w:val="00AE53F9"/>
    <w:rsid w:val="00AE5851"/>
    <w:rsid w:val="00AE6BCA"/>
    <w:rsid w:val="00AE6DAC"/>
    <w:rsid w:val="00AE6F92"/>
    <w:rsid w:val="00AE76DC"/>
    <w:rsid w:val="00AE783F"/>
    <w:rsid w:val="00AF0320"/>
    <w:rsid w:val="00AF0616"/>
    <w:rsid w:val="00AF07DF"/>
    <w:rsid w:val="00AF1A72"/>
    <w:rsid w:val="00AF1F5D"/>
    <w:rsid w:val="00AF29D1"/>
    <w:rsid w:val="00AF2CBA"/>
    <w:rsid w:val="00AF2D9C"/>
    <w:rsid w:val="00AF328F"/>
    <w:rsid w:val="00AF32D7"/>
    <w:rsid w:val="00AF3BA3"/>
    <w:rsid w:val="00AF3D93"/>
    <w:rsid w:val="00AF4508"/>
    <w:rsid w:val="00AF491E"/>
    <w:rsid w:val="00AF606E"/>
    <w:rsid w:val="00AF6A7B"/>
    <w:rsid w:val="00AF7100"/>
    <w:rsid w:val="00AF7701"/>
    <w:rsid w:val="00AF7E8E"/>
    <w:rsid w:val="00B01519"/>
    <w:rsid w:val="00B01AE4"/>
    <w:rsid w:val="00B0349C"/>
    <w:rsid w:val="00B0354D"/>
    <w:rsid w:val="00B04216"/>
    <w:rsid w:val="00B05792"/>
    <w:rsid w:val="00B1119D"/>
    <w:rsid w:val="00B11C05"/>
    <w:rsid w:val="00B11E81"/>
    <w:rsid w:val="00B129C9"/>
    <w:rsid w:val="00B12CDA"/>
    <w:rsid w:val="00B165FB"/>
    <w:rsid w:val="00B1722C"/>
    <w:rsid w:val="00B179F9"/>
    <w:rsid w:val="00B20F32"/>
    <w:rsid w:val="00B20F49"/>
    <w:rsid w:val="00B21C7C"/>
    <w:rsid w:val="00B221A0"/>
    <w:rsid w:val="00B224FD"/>
    <w:rsid w:val="00B22B6C"/>
    <w:rsid w:val="00B2356B"/>
    <w:rsid w:val="00B23718"/>
    <w:rsid w:val="00B2381D"/>
    <w:rsid w:val="00B24702"/>
    <w:rsid w:val="00B25785"/>
    <w:rsid w:val="00B25AAB"/>
    <w:rsid w:val="00B25ABC"/>
    <w:rsid w:val="00B25EC7"/>
    <w:rsid w:val="00B2651C"/>
    <w:rsid w:val="00B27D25"/>
    <w:rsid w:val="00B30858"/>
    <w:rsid w:val="00B33AAC"/>
    <w:rsid w:val="00B344C0"/>
    <w:rsid w:val="00B347C8"/>
    <w:rsid w:val="00B34817"/>
    <w:rsid w:val="00B34E4E"/>
    <w:rsid w:val="00B37063"/>
    <w:rsid w:val="00B373F4"/>
    <w:rsid w:val="00B40CC6"/>
    <w:rsid w:val="00B40D6E"/>
    <w:rsid w:val="00B4218D"/>
    <w:rsid w:val="00B425A3"/>
    <w:rsid w:val="00B42DB2"/>
    <w:rsid w:val="00B47502"/>
    <w:rsid w:val="00B507DF"/>
    <w:rsid w:val="00B50C82"/>
    <w:rsid w:val="00B512EE"/>
    <w:rsid w:val="00B51708"/>
    <w:rsid w:val="00B523F7"/>
    <w:rsid w:val="00B551C0"/>
    <w:rsid w:val="00B56ADC"/>
    <w:rsid w:val="00B56F2F"/>
    <w:rsid w:val="00B56F5A"/>
    <w:rsid w:val="00B5751F"/>
    <w:rsid w:val="00B57D35"/>
    <w:rsid w:val="00B61AA7"/>
    <w:rsid w:val="00B61B82"/>
    <w:rsid w:val="00B63759"/>
    <w:rsid w:val="00B64124"/>
    <w:rsid w:val="00B66C53"/>
    <w:rsid w:val="00B66CC3"/>
    <w:rsid w:val="00B67C91"/>
    <w:rsid w:val="00B70D27"/>
    <w:rsid w:val="00B71BA6"/>
    <w:rsid w:val="00B72326"/>
    <w:rsid w:val="00B7237D"/>
    <w:rsid w:val="00B72427"/>
    <w:rsid w:val="00B72A2B"/>
    <w:rsid w:val="00B7401C"/>
    <w:rsid w:val="00B74B85"/>
    <w:rsid w:val="00B75187"/>
    <w:rsid w:val="00B76380"/>
    <w:rsid w:val="00B77936"/>
    <w:rsid w:val="00B77BD8"/>
    <w:rsid w:val="00B806C7"/>
    <w:rsid w:val="00B80FA8"/>
    <w:rsid w:val="00B82275"/>
    <w:rsid w:val="00B82F4B"/>
    <w:rsid w:val="00B845E7"/>
    <w:rsid w:val="00B84EB4"/>
    <w:rsid w:val="00B8643B"/>
    <w:rsid w:val="00B86CA2"/>
    <w:rsid w:val="00B87213"/>
    <w:rsid w:val="00B90E73"/>
    <w:rsid w:val="00B91C93"/>
    <w:rsid w:val="00B92C26"/>
    <w:rsid w:val="00B93669"/>
    <w:rsid w:val="00B94703"/>
    <w:rsid w:val="00B94A6C"/>
    <w:rsid w:val="00B9630A"/>
    <w:rsid w:val="00B965F4"/>
    <w:rsid w:val="00B96693"/>
    <w:rsid w:val="00B968CD"/>
    <w:rsid w:val="00B96C48"/>
    <w:rsid w:val="00B97050"/>
    <w:rsid w:val="00BA0933"/>
    <w:rsid w:val="00BA096B"/>
    <w:rsid w:val="00BA1188"/>
    <w:rsid w:val="00BA24FA"/>
    <w:rsid w:val="00BA2634"/>
    <w:rsid w:val="00BA2CAE"/>
    <w:rsid w:val="00BA37F0"/>
    <w:rsid w:val="00BA3F48"/>
    <w:rsid w:val="00BA43BB"/>
    <w:rsid w:val="00BA4FE8"/>
    <w:rsid w:val="00BA6D44"/>
    <w:rsid w:val="00BB01BB"/>
    <w:rsid w:val="00BB1D8A"/>
    <w:rsid w:val="00BB27C4"/>
    <w:rsid w:val="00BB2A9F"/>
    <w:rsid w:val="00BB3211"/>
    <w:rsid w:val="00BB3990"/>
    <w:rsid w:val="00BB4137"/>
    <w:rsid w:val="00BB437F"/>
    <w:rsid w:val="00BB5E66"/>
    <w:rsid w:val="00BB5EA5"/>
    <w:rsid w:val="00BB7266"/>
    <w:rsid w:val="00BC0CCF"/>
    <w:rsid w:val="00BC1B90"/>
    <w:rsid w:val="00BC1BC7"/>
    <w:rsid w:val="00BC1DF9"/>
    <w:rsid w:val="00BC2417"/>
    <w:rsid w:val="00BC42B0"/>
    <w:rsid w:val="00BC7337"/>
    <w:rsid w:val="00BD016A"/>
    <w:rsid w:val="00BD208F"/>
    <w:rsid w:val="00BD4676"/>
    <w:rsid w:val="00BD4EB3"/>
    <w:rsid w:val="00BE120B"/>
    <w:rsid w:val="00BE1C27"/>
    <w:rsid w:val="00BE1EFC"/>
    <w:rsid w:val="00BE3359"/>
    <w:rsid w:val="00BE38EE"/>
    <w:rsid w:val="00BE42FE"/>
    <w:rsid w:val="00BE5318"/>
    <w:rsid w:val="00BE55BF"/>
    <w:rsid w:val="00BE5F36"/>
    <w:rsid w:val="00BE61E2"/>
    <w:rsid w:val="00BE7616"/>
    <w:rsid w:val="00BE7891"/>
    <w:rsid w:val="00BF0361"/>
    <w:rsid w:val="00BF067A"/>
    <w:rsid w:val="00BF0B26"/>
    <w:rsid w:val="00BF15FD"/>
    <w:rsid w:val="00BF2303"/>
    <w:rsid w:val="00BF3205"/>
    <w:rsid w:val="00BF4574"/>
    <w:rsid w:val="00BF56CC"/>
    <w:rsid w:val="00BF59AE"/>
    <w:rsid w:val="00BF64EA"/>
    <w:rsid w:val="00BF6AE7"/>
    <w:rsid w:val="00BF7985"/>
    <w:rsid w:val="00C00627"/>
    <w:rsid w:val="00C00876"/>
    <w:rsid w:val="00C01D6B"/>
    <w:rsid w:val="00C02E35"/>
    <w:rsid w:val="00C02FA3"/>
    <w:rsid w:val="00C03CFF"/>
    <w:rsid w:val="00C04267"/>
    <w:rsid w:val="00C06002"/>
    <w:rsid w:val="00C068C2"/>
    <w:rsid w:val="00C11138"/>
    <w:rsid w:val="00C11372"/>
    <w:rsid w:val="00C113F0"/>
    <w:rsid w:val="00C12D65"/>
    <w:rsid w:val="00C151CC"/>
    <w:rsid w:val="00C1637F"/>
    <w:rsid w:val="00C1689E"/>
    <w:rsid w:val="00C17725"/>
    <w:rsid w:val="00C17A44"/>
    <w:rsid w:val="00C21568"/>
    <w:rsid w:val="00C21655"/>
    <w:rsid w:val="00C21CDC"/>
    <w:rsid w:val="00C21F1B"/>
    <w:rsid w:val="00C23D32"/>
    <w:rsid w:val="00C23EEF"/>
    <w:rsid w:val="00C24988"/>
    <w:rsid w:val="00C249E8"/>
    <w:rsid w:val="00C24A60"/>
    <w:rsid w:val="00C24DB3"/>
    <w:rsid w:val="00C269E4"/>
    <w:rsid w:val="00C269E8"/>
    <w:rsid w:val="00C26E5C"/>
    <w:rsid w:val="00C27004"/>
    <w:rsid w:val="00C27408"/>
    <w:rsid w:val="00C27D44"/>
    <w:rsid w:val="00C3115F"/>
    <w:rsid w:val="00C31605"/>
    <w:rsid w:val="00C3215E"/>
    <w:rsid w:val="00C32291"/>
    <w:rsid w:val="00C3239A"/>
    <w:rsid w:val="00C32C44"/>
    <w:rsid w:val="00C34EEE"/>
    <w:rsid w:val="00C364C8"/>
    <w:rsid w:val="00C377B6"/>
    <w:rsid w:val="00C37DAB"/>
    <w:rsid w:val="00C41834"/>
    <w:rsid w:val="00C428AF"/>
    <w:rsid w:val="00C44315"/>
    <w:rsid w:val="00C45107"/>
    <w:rsid w:val="00C45165"/>
    <w:rsid w:val="00C461AD"/>
    <w:rsid w:val="00C500C1"/>
    <w:rsid w:val="00C501FF"/>
    <w:rsid w:val="00C51FE6"/>
    <w:rsid w:val="00C5287E"/>
    <w:rsid w:val="00C52A56"/>
    <w:rsid w:val="00C543D0"/>
    <w:rsid w:val="00C5496E"/>
    <w:rsid w:val="00C554AF"/>
    <w:rsid w:val="00C55526"/>
    <w:rsid w:val="00C555D4"/>
    <w:rsid w:val="00C55B03"/>
    <w:rsid w:val="00C56D7C"/>
    <w:rsid w:val="00C60D3E"/>
    <w:rsid w:val="00C615DC"/>
    <w:rsid w:val="00C619BA"/>
    <w:rsid w:val="00C61CD2"/>
    <w:rsid w:val="00C63318"/>
    <w:rsid w:val="00C63C50"/>
    <w:rsid w:val="00C6445A"/>
    <w:rsid w:val="00C64E57"/>
    <w:rsid w:val="00C65A7D"/>
    <w:rsid w:val="00C65BBC"/>
    <w:rsid w:val="00C71A3F"/>
    <w:rsid w:val="00C71EFE"/>
    <w:rsid w:val="00C72186"/>
    <w:rsid w:val="00C7263A"/>
    <w:rsid w:val="00C72A6E"/>
    <w:rsid w:val="00C76C65"/>
    <w:rsid w:val="00C777CB"/>
    <w:rsid w:val="00C7784B"/>
    <w:rsid w:val="00C8044B"/>
    <w:rsid w:val="00C81171"/>
    <w:rsid w:val="00C81B84"/>
    <w:rsid w:val="00C826F6"/>
    <w:rsid w:val="00C84068"/>
    <w:rsid w:val="00C85A85"/>
    <w:rsid w:val="00C87014"/>
    <w:rsid w:val="00C918CB"/>
    <w:rsid w:val="00C92623"/>
    <w:rsid w:val="00C93217"/>
    <w:rsid w:val="00C93DBC"/>
    <w:rsid w:val="00C93E49"/>
    <w:rsid w:val="00C955F7"/>
    <w:rsid w:val="00C95E2A"/>
    <w:rsid w:val="00C975F2"/>
    <w:rsid w:val="00CA00A7"/>
    <w:rsid w:val="00CA051D"/>
    <w:rsid w:val="00CA05D0"/>
    <w:rsid w:val="00CA26E1"/>
    <w:rsid w:val="00CA296A"/>
    <w:rsid w:val="00CA2A65"/>
    <w:rsid w:val="00CA2EB1"/>
    <w:rsid w:val="00CA4CC4"/>
    <w:rsid w:val="00CA556A"/>
    <w:rsid w:val="00CA5E85"/>
    <w:rsid w:val="00CA74A6"/>
    <w:rsid w:val="00CA74CD"/>
    <w:rsid w:val="00CA79EE"/>
    <w:rsid w:val="00CB3973"/>
    <w:rsid w:val="00CB3D6F"/>
    <w:rsid w:val="00CB42E8"/>
    <w:rsid w:val="00CB4B82"/>
    <w:rsid w:val="00CB528A"/>
    <w:rsid w:val="00CB599D"/>
    <w:rsid w:val="00CB68B7"/>
    <w:rsid w:val="00CB6F63"/>
    <w:rsid w:val="00CB7B7C"/>
    <w:rsid w:val="00CC1FEC"/>
    <w:rsid w:val="00CC2EE7"/>
    <w:rsid w:val="00CC2F89"/>
    <w:rsid w:val="00CC5D74"/>
    <w:rsid w:val="00CC6342"/>
    <w:rsid w:val="00CC6687"/>
    <w:rsid w:val="00CC6752"/>
    <w:rsid w:val="00CC7DA7"/>
    <w:rsid w:val="00CD00D9"/>
    <w:rsid w:val="00CD28DD"/>
    <w:rsid w:val="00CD2971"/>
    <w:rsid w:val="00CD2BB3"/>
    <w:rsid w:val="00CD4817"/>
    <w:rsid w:val="00CD61EF"/>
    <w:rsid w:val="00CD63B2"/>
    <w:rsid w:val="00CD7B77"/>
    <w:rsid w:val="00CD7C60"/>
    <w:rsid w:val="00CD7CA8"/>
    <w:rsid w:val="00CE004A"/>
    <w:rsid w:val="00CE03BB"/>
    <w:rsid w:val="00CE119B"/>
    <w:rsid w:val="00CE1DD7"/>
    <w:rsid w:val="00CE2369"/>
    <w:rsid w:val="00CE4FA4"/>
    <w:rsid w:val="00CE561C"/>
    <w:rsid w:val="00CE582D"/>
    <w:rsid w:val="00CE5981"/>
    <w:rsid w:val="00CE61C4"/>
    <w:rsid w:val="00CE66E9"/>
    <w:rsid w:val="00CE6715"/>
    <w:rsid w:val="00CE6CCB"/>
    <w:rsid w:val="00CE6E83"/>
    <w:rsid w:val="00CE6ED5"/>
    <w:rsid w:val="00CE6FFA"/>
    <w:rsid w:val="00CE741B"/>
    <w:rsid w:val="00CE7B3B"/>
    <w:rsid w:val="00CE7EEF"/>
    <w:rsid w:val="00CF0504"/>
    <w:rsid w:val="00CF08D0"/>
    <w:rsid w:val="00CF1673"/>
    <w:rsid w:val="00CF27D2"/>
    <w:rsid w:val="00CF2A66"/>
    <w:rsid w:val="00CF3940"/>
    <w:rsid w:val="00CF42EC"/>
    <w:rsid w:val="00CF4B87"/>
    <w:rsid w:val="00CF55FA"/>
    <w:rsid w:val="00CF5EA4"/>
    <w:rsid w:val="00CF6667"/>
    <w:rsid w:val="00D002E0"/>
    <w:rsid w:val="00D00755"/>
    <w:rsid w:val="00D00DB8"/>
    <w:rsid w:val="00D01865"/>
    <w:rsid w:val="00D023BF"/>
    <w:rsid w:val="00D024DE"/>
    <w:rsid w:val="00D02FE8"/>
    <w:rsid w:val="00D038AE"/>
    <w:rsid w:val="00D03A28"/>
    <w:rsid w:val="00D05279"/>
    <w:rsid w:val="00D07D10"/>
    <w:rsid w:val="00D100B9"/>
    <w:rsid w:val="00D11559"/>
    <w:rsid w:val="00D12F23"/>
    <w:rsid w:val="00D132AE"/>
    <w:rsid w:val="00D16971"/>
    <w:rsid w:val="00D16F54"/>
    <w:rsid w:val="00D20966"/>
    <w:rsid w:val="00D20968"/>
    <w:rsid w:val="00D23230"/>
    <w:rsid w:val="00D23B68"/>
    <w:rsid w:val="00D24786"/>
    <w:rsid w:val="00D25220"/>
    <w:rsid w:val="00D25988"/>
    <w:rsid w:val="00D26367"/>
    <w:rsid w:val="00D26FF6"/>
    <w:rsid w:val="00D30376"/>
    <w:rsid w:val="00D316DF"/>
    <w:rsid w:val="00D32C2A"/>
    <w:rsid w:val="00D34ADA"/>
    <w:rsid w:val="00D34BA8"/>
    <w:rsid w:val="00D356EC"/>
    <w:rsid w:val="00D3797C"/>
    <w:rsid w:val="00D4024B"/>
    <w:rsid w:val="00D416BA"/>
    <w:rsid w:val="00D4236A"/>
    <w:rsid w:val="00D427B7"/>
    <w:rsid w:val="00D42C0C"/>
    <w:rsid w:val="00D434A7"/>
    <w:rsid w:val="00D43B27"/>
    <w:rsid w:val="00D44F35"/>
    <w:rsid w:val="00D451DE"/>
    <w:rsid w:val="00D474C7"/>
    <w:rsid w:val="00D52E20"/>
    <w:rsid w:val="00D5460B"/>
    <w:rsid w:val="00D567B0"/>
    <w:rsid w:val="00D56F72"/>
    <w:rsid w:val="00D621E8"/>
    <w:rsid w:val="00D62286"/>
    <w:rsid w:val="00D62621"/>
    <w:rsid w:val="00D63027"/>
    <w:rsid w:val="00D631FD"/>
    <w:rsid w:val="00D645E2"/>
    <w:rsid w:val="00D64C36"/>
    <w:rsid w:val="00D66498"/>
    <w:rsid w:val="00D67A77"/>
    <w:rsid w:val="00D67FFE"/>
    <w:rsid w:val="00D7176B"/>
    <w:rsid w:val="00D71F61"/>
    <w:rsid w:val="00D72559"/>
    <w:rsid w:val="00D72D4E"/>
    <w:rsid w:val="00D731A2"/>
    <w:rsid w:val="00D73CA5"/>
    <w:rsid w:val="00D76F0C"/>
    <w:rsid w:val="00D76F17"/>
    <w:rsid w:val="00D77BB0"/>
    <w:rsid w:val="00D803BB"/>
    <w:rsid w:val="00D821DE"/>
    <w:rsid w:val="00D83980"/>
    <w:rsid w:val="00D84624"/>
    <w:rsid w:val="00D846F8"/>
    <w:rsid w:val="00D8490D"/>
    <w:rsid w:val="00D852DE"/>
    <w:rsid w:val="00D863D8"/>
    <w:rsid w:val="00D865FA"/>
    <w:rsid w:val="00D87817"/>
    <w:rsid w:val="00D87A9A"/>
    <w:rsid w:val="00D87D30"/>
    <w:rsid w:val="00D903C8"/>
    <w:rsid w:val="00D91634"/>
    <w:rsid w:val="00D9179C"/>
    <w:rsid w:val="00D922FA"/>
    <w:rsid w:val="00D93342"/>
    <w:rsid w:val="00D93E7F"/>
    <w:rsid w:val="00D94943"/>
    <w:rsid w:val="00D949D0"/>
    <w:rsid w:val="00D94B82"/>
    <w:rsid w:val="00D94D9F"/>
    <w:rsid w:val="00D94ECB"/>
    <w:rsid w:val="00D957DA"/>
    <w:rsid w:val="00DA0205"/>
    <w:rsid w:val="00DA095E"/>
    <w:rsid w:val="00DA1CEB"/>
    <w:rsid w:val="00DA22F3"/>
    <w:rsid w:val="00DA25B5"/>
    <w:rsid w:val="00DA2E5C"/>
    <w:rsid w:val="00DA2F0F"/>
    <w:rsid w:val="00DA33A8"/>
    <w:rsid w:val="00DA59CE"/>
    <w:rsid w:val="00DA5EBB"/>
    <w:rsid w:val="00DA65C8"/>
    <w:rsid w:val="00DA67D6"/>
    <w:rsid w:val="00DA762F"/>
    <w:rsid w:val="00DA76EE"/>
    <w:rsid w:val="00DA782B"/>
    <w:rsid w:val="00DB0D1B"/>
    <w:rsid w:val="00DB15BB"/>
    <w:rsid w:val="00DB4714"/>
    <w:rsid w:val="00DB4746"/>
    <w:rsid w:val="00DB5964"/>
    <w:rsid w:val="00DB5E5C"/>
    <w:rsid w:val="00DB6C6D"/>
    <w:rsid w:val="00DB747B"/>
    <w:rsid w:val="00DC0044"/>
    <w:rsid w:val="00DC0AC1"/>
    <w:rsid w:val="00DC0CE6"/>
    <w:rsid w:val="00DC2352"/>
    <w:rsid w:val="00DC2479"/>
    <w:rsid w:val="00DC350C"/>
    <w:rsid w:val="00DC35EB"/>
    <w:rsid w:val="00DC653A"/>
    <w:rsid w:val="00DC7133"/>
    <w:rsid w:val="00DC7D32"/>
    <w:rsid w:val="00DD077C"/>
    <w:rsid w:val="00DD100C"/>
    <w:rsid w:val="00DD185E"/>
    <w:rsid w:val="00DD29BD"/>
    <w:rsid w:val="00DD3884"/>
    <w:rsid w:val="00DD3B3B"/>
    <w:rsid w:val="00DD3C7A"/>
    <w:rsid w:val="00DD4F67"/>
    <w:rsid w:val="00DD60EA"/>
    <w:rsid w:val="00DE058C"/>
    <w:rsid w:val="00DE0BE8"/>
    <w:rsid w:val="00DE123F"/>
    <w:rsid w:val="00DE22B5"/>
    <w:rsid w:val="00DE2861"/>
    <w:rsid w:val="00DE2F06"/>
    <w:rsid w:val="00DE41EB"/>
    <w:rsid w:val="00DE48B9"/>
    <w:rsid w:val="00DE5576"/>
    <w:rsid w:val="00DE5A1D"/>
    <w:rsid w:val="00DE5AB7"/>
    <w:rsid w:val="00DE5BB7"/>
    <w:rsid w:val="00DE6EE2"/>
    <w:rsid w:val="00DE7A72"/>
    <w:rsid w:val="00DF0077"/>
    <w:rsid w:val="00DF1D8C"/>
    <w:rsid w:val="00DF5D08"/>
    <w:rsid w:val="00DF5D21"/>
    <w:rsid w:val="00DF659D"/>
    <w:rsid w:val="00E00CEB"/>
    <w:rsid w:val="00E01B56"/>
    <w:rsid w:val="00E01DD6"/>
    <w:rsid w:val="00E02F40"/>
    <w:rsid w:val="00E03007"/>
    <w:rsid w:val="00E0412F"/>
    <w:rsid w:val="00E05CD4"/>
    <w:rsid w:val="00E118FA"/>
    <w:rsid w:val="00E127BC"/>
    <w:rsid w:val="00E13B92"/>
    <w:rsid w:val="00E14D71"/>
    <w:rsid w:val="00E16894"/>
    <w:rsid w:val="00E178DB"/>
    <w:rsid w:val="00E17975"/>
    <w:rsid w:val="00E2044B"/>
    <w:rsid w:val="00E21670"/>
    <w:rsid w:val="00E22420"/>
    <w:rsid w:val="00E22F39"/>
    <w:rsid w:val="00E25F17"/>
    <w:rsid w:val="00E2620A"/>
    <w:rsid w:val="00E26DC2"/>
    <w:rsid w:val="00E276B7"/>
    <w:rsid w:val="00E27905"/>
    <w:rsid w:val="00E3112E"/>
    <w:rsid w:val="00E31683"/>
    <w:rsid w:val="00E3227B"/>
    <w:rsid w:val="00E32E92"/>
    <w:rsid w:val="00E35132"/>
    <w:rsid w:val="00E365DE"/>
    <w:rsid w:val="00E40758"/>
    <w:rsid w:val="00E4423A"/>
    <w:rsid w:val="00E44DE9"/>
    <w:rsid w:val="00E4522C"/>
    <w:rsid w:val="00E46A1F"/>
    <w:rsid w:val="00E47178"/>
    <w:rsid w:val="00E47873"/>
    <w:rsid w:val="00E519B7"/>
    <w:rsid w:val="00E5205F"/>
    <w:rsid w:val="00E535EF"/>
    <w:rsid w:val="00E53928"/>
    <w:rsid w:val="00E54264"/>
    <w:rsid w:val="00E559EF"/>
    <w:rsid w:val="00E55B22"/>
    <w:rsid w:val="00E55E6C"/>
    <w:rsid w:val="00E6023A"/>
    <w:rsid w:val="00E610A9"/>
    <w:rsid w:val="00E616F2"/>
    <w:rsid w:val="00E62E71"/>
    <w:rsid w:val="00E6375A"/>
    <w:rsid w:val="00E64397"/>
    <w:rsid w:val="00E64F6C"/>
    <w:rsid w:val="00E65EE1"/>
    <w:rsid w:val="00E65F3A"/>
    <w:rsid w:val="00E6792B"/>
    <w:rsid w:val="00E70058"/>
    <w:rsid w:val="00E703C0"/>
    <w:rsid w:val="00E7125C"/>
    <w:rsid w:val="00E72E96"/>
    <w:rsid w:val="00E73D75"/>
    <w:rsid w:val="00E74E32"/>
    <w:rsid w:val="00E76C57"/>
    <w:rsid w:val="00E80BA6"/>
    <w:rsid w:val="00E81257"/>
    <w:rsid w:val="00E833EA"/>
    <w:rsid w:val="00E83B17"/>
    <w:rsid w:val="00E8435B"/>
    <w:rsid w:val="00E848B6"/>
    <w:rsid w:val="00E85CDD"/>
    <w:rsid w:val="00E86DA9"/>
    <w:rsid w:val="00E87A1E"/>
    <w:rsid w:val="00E9438E"/>
    <w:rsid w:val="00E96CD5"/>
    <w:rsid w:val="00E97699"/>
    <w:rsid w:val="00EA2720"/>
    <w:rsid w:val="00EA2C46"/>
    <w:rsid w:val="00EA36D4"/>
    <w:rsid w:val="00EA4605"/>
    <w:rsid w:val="00EA4DE3"/>
    <w:rsid w:val="00EA4E98"/>
    <w:rsid w:val="00EA4FE4"/>
    <w:rsid w:val="00EA5065"/>
    <w:rsid w:val="00EA626F"/>
    <w:rsid w:val="00EA6A6A"/>
    <w:rsid w:val="00EB065A"/>
    <w:rsid w:val="00EB226B"/>
    <w:rsid w:val="00EB23AE"/>
    <w:rsid w:val="00EB2E34"/>
    <w:rsid w:val="00EB3482"/>
    <w:rsid w:val="00EC0D3B"/>
    <w:rsid w:val="00EC3784"/>
    <w:rsid w:val="00EC4FCD"/>
    <w:rsid w:val="00EC549B"/>
    <w:rsid w:val="00EC5BE7"/>
    <w:rsid w:val="00EC6CE6"/>
    <w:rsid w:val="00EC7A93"/>
    <w:rsid w:val="00EC7D68"/>
    <w:rsid w:val="00ED062B"/>
    <w:rsid w:val="00ED2162"/>
    <w:rsid w:val="00ED3172"/>
    <w:rsid w:val="00ED32DB"/>
    <w:rsid w:val="00ED38F6"/>
    <w:rsid w:val="00ED45B5"/>
    <w:rsid w:val="00ED55EA"/>
    <w:rsid w:val="00ED58B6"/>
    <w:rsid w:val="00ED623A"/>
    <w:rsid w:val="00ED70F6"/>
    <w:rsid w:val="00ED75C9"/>
    <w:rsid w:val="00ED7DF9"/>
    <w:rsid w:val="00EE01AE"/>
    <w:rsid w:val="00EE37E0"/>
    <w:rsid w:val="00EE3CBD"/>
    <w:rsid w:val="00EE48E3"/>
    <w:rsid w:val="00EE7594"/>
    <w:rsid w:val="00EE75B6"/>
    <w:rsid w:val="00EF030E"/>
    <w:rsid w:val="00EF128D"/>
    <w:rsid w:val="00EF13FF"/>
    <w:rsid w:val="00EF1407"/>
    <w:rsid w:val="00EF3359"/>
    <w:rsid w:val="00EF3F18"/>
    <w:rsid w:val="00EF4F60"/>
    <w:rsid w:val="00EF5880"/>
    <w:rsid w:val="00EF5ED2"/>
    <w:rsid w:val="00EF644E"/>
    <w:rsid w:val="00EF65E2"/>
    <w:rsid w:val="00EF6B51"/>
    <w:rsid w:val="00EF7137"/>
    <w:rsid w:val="00F00E32"/>
    <w:rsid w:val="00F022FD"/>
    <w:rsid w:val="00F03243"/>
    <w:rsid w:val="00F03E9A"/>
    <w:rsid w:val="00F0498B"/>
    <w:rsid w:val="00F04B90"/>
    <w:rsid w:val="00F066D9"/>
    <w:rsid w:val="00F076B7"/>
    <w:rsid w:val="00F07B30"/>
    <w:rsid w:val="00F12210"/>
    <w:rsid w:val="00F124EA"/>
    <w:rsid w:val="00F13119"/>
    <w:rsid w:val="00F15010"/>
    <w:rsid w:val="00F157E3"/>
    <w:rsid w:val="00F16B70"/>
    <w:rsid w:val="00F2006E"/>
    <w:rsid w:val="00F22DD5"/>
    <w:rsid w:val="00F24548"/>
    <w:rsid w:val="00F25CC8"/>
    <w:rsid w:val="00F261B4"/>
    <w:rsid w:val="00F26C0B"/>
    <w:rsid w:val="00F275E1"/>
    <w:rsid w:val="00F30764"/>
    <w:rsid w:val="00F30C5B"/>
    <w:rsid w:val="00F33961"/>
    <w:rsid w:val="00F34197"/>
    <w:rsid w:val="00F34C3A"/>
    <w:rsid w:val="00F35647"/>
    <w:rsid w:val="00F376D0"/>
    <w:rsid w:val="00F4056B"/>
    <w:rsid w:val="00F40699"/>
    <w:rsid w:val="00F407F3"/>
    <w:rsid w:val="00F418F9"/>
    <w:rsid w:val="00F421CA"/>
    <w:rsid w:val="00F42F71"/>
    <w:rsid w:val="00F433EE"/>
    <w:rsid w:val="00F438D4"/>
    <w:rsid w:val="00F441B2"/>
    <w:rsid w:val="00F44206"/>
    <w:rsid w:val="00F44391"/>
    <w:rsid w:val="00F45E3C"/>
    <w:rsid w:val="00F461BA"/>
    <w:rsid w:val="00F466EA"/>
    <w:rsid w:val="00F46E1E"/>
    <w:rsid w:val="00F46E61"/>
    <w:rsid w:val="00F5089E"/>
    <w:rsid w:val="00F51610"/>
    <w:rsid w:val="00F517EA"/>
    <w:rsid w:val="00F5184E"/>
    <w:rsid w:val="00F5289B"/>
    <w:rsid w:val="00F52C6F"/>
    <w:rsid w:val="00F53E8C"/>
    <w:rsid w:val="00F5498B"/>
    <w:rsid w:val="00F54C0A"/>
    <w:rsid w:val="00F556F6"/>
    <w:rsid w:val="00F560A0"/>
    <w:rsid w:val="00F56BBD"/>
    <w:rsid w:val="00F56C31"/>
    <w:rsid w:val="00F578B1"/>
    <w:rsid w:val="00F578D2"/>
    <w:rsid w:val="00F579A4"/>
    <w:rsid w:val="00F57E59"/>
    <w:rsid w:val="00F60A31"/>
    <w:rsid w:val="00F61F4E"/>
    <w:rsid w:val="00F624C5"/>
    <w:rsid w:val="00F6270D"/>
    <w:rsid w:val="00F62B64"/>
    <w:rsid w:val="00F6343B"/>
    <w:rsid w:val="00F64FC1"/>
    <w:rsid w:val="00F65F7F"/>
    <w:rsid w:val="00F66EA6"/>
    <w:rsid w:val="00F67371"/>
    <w:rsid w:val="00F71171"/>
    <w:rsid w:val="00F71485"/>
    <w:rsid w:val="00F71C1C"/>
    <w:rsid w:val="00F72079"/>
    <w:rsid w:val="00F72C81"/>
    <w:rsid w:val="00F73B46"/>
    <w:rsid w:val="00F73D1D"/>
    <w:rsid w:val="00F75332"/>
    <w:rsid w:val="00F75988"/>
    <w:rsid w:val="00F774E2"/>
    <w:rsid w:val="00F809D8"/>
    <w:rsid w:val="00F81753"/>
    <w:rsid w:val="00F81B28"/>
    <w:rsid w:val="00F83A54"/>
    <w:rsid w:val="00F84444"/>
    <w:rsid w:val="00F8687B"/>
    <w:rsid w:val="00F8758B"/>
    <w:rsid w:val="00F91459"/>
    <w:rsid w:val="00F92DF6"/>
    <w:rsid w:val="00F92FAC"/>
    <w:rsid w:val="00F93CA4"/>
    <w:rsid w:val="00F96417"/>
    <w:rsid w:val="00F97DEA"/>
    <w:rsid w:val="00F97E23"/>
    <w:rsid w:val="00FA057C"/>
    <w:rsid w:val="00FA0751"/>
    <w:rsid w:val="00FA0C81"/>
    <w:rsid w:val="00FA0EE1"/>
    <w:rsid w:val="00FA14B1"/>
    <w:rsid w:val="00FA1DC6"/>
    <w:rsid w:val="00FA41F1"/>
    <w:rsid w:val="00FA7B5F"/>
    <w:rsid w:val="00FB2ABF"/>
    <w:rsid w:val="00FB2C00"/>
    <w:rsid w:val="00FB3A1D"/>
    <w:rsid w:val="00FB4DF3"/>
    <w:rsid w:val="00FC030A"/>
    <w:rsid w:val="00FC059D"/>
    <w:rsid w:val="00FC0B28"/>
    <w:rsid w:val="00FC279B"/>
    <w:rsid w:val="00FC2BDE"/>
    <w:rsid w:val="00FC2D02"/>
    <w:rsid w:val="00FC508E"/>
    <w:rsid w:val="00FC5880"/>
    <w:rsid w:val="00FD1532"/>
    <w:rsid w:val="00FD1D62"/>
    <w:rsid w:val="00FD2DBE"/>
    <w:rsid w:val="00FD3179"/>
    <w:rsid w:val="00FD4080"/>
    <w:rsid w:val="00FD412C"/>
    <w:rsid w:val="00FD5C1D"/>
    <w:rsid w:val="00FD6476"/>
    <w:rsid w:val="00FD648B"/>
    <w:rsid w:val="00FD6A2C"/>
    <w:rsid w:val="00FD707D"/>
    <w:rsid w:val="00FD78CF"/>
    <w:rsid w:val="00FD7ACB"/>
    <w:rsid w:val="00FD7DC1"/>
    <w:rsid w:val="00FD7E0F"/>
    <w:rsid w:val="00FE0C44"/>
    <w:rsid w:val="00FE24F9"/>
    <w:rsid w:val="00FE3C67"/>
    <w:rsid w:val="00FE613D"/>
    <w:rsid w:val="00FE62AE"/>
    <w:rsid w:val="00FE680C"/>
    <w:rsid w:val="00FE6995"/>
    <w:rsid w:val="00FF0B22"/>
    <w:rsid w:val="00FF182F"/>
    <w:rsid w:val="00FF1DDC"/>
    <w:rsid w:val="00FF2825"/>
    <w:rsid w:val="00FF33B5"/>
    <w:rsid w:val="00FF5F94"/>
    <w:rsid w:val="00FF683C"/>
    <w:rsid w:val="00FF7C0F"/>
    <w:rsid w:val="00FF7EFE"/>
    <w:rsid w:val="00FF7F9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ab1320,#d54d20,#fdb813,#a09a95"/>
    </o:shapedefaults>
    <o:shapelayout v:ext="edit">
      <o:idmap v:ext="edit" data="1"/>
    </o:shapelayout>
  </w:shapeDefaults>
  <w:decimalSymbol w:val="."/>
  <w:listSeparator w:val=","/>
  <w14:docId w14:val="0F8EEA26"/>
  <w15:docId w15:val="{25725C30-E034-4905-8981-A10717F72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014"/>
    <w:pPr>
      <w:tabs>
        <w:tab w:val="left" w:pos="851"/>
      </w:tabs>
      <w:spacing w:before="60" w:after="120"/>
      <w:ind w:left="851"/>
    </w:pPr>
    <w:rPr>
      <w:rFonts w:ascii="Arial" w:hAnsi="Arial"/>
      <w:sz w:val="22"/>
      <w:szCs w:val="24"/>
      <w:lang w:eastAsia="en-US"/>
    </w:rPr>
  </w:style>
  <w:style w:type="paragraph" w:styleId="Heading1">
    <w:name w:val="heading 1"/>
    <w:next w:val="Normal"/>
    <w:autoRedefine/>
    <w:qFormat/>
    <w:rsid w:val="003759E8"/>
    <w:pPr>
      <w:keepNext/>
      <w:pageBreakBefore/>
      <w:numPr>
        <w:numId w:val="11"/>
      </w:numPr>
      <w:pBdr>
        <w:bottom w:val="single" w:sz="8" w:space="1" w:color="DDDDDD"/>
      </w:pBdr>
      <w:tabs>
        <w:tab w:val="clear" w:pos="567"/>
        <w:tab w:val="num" w:pos="851"/>
      </w:tabs>
      <w:spacing w:before="360" w:after="240"/>
      <w:ind w:left="851" w:hanging="851"/>
      <w:outlineLvl w:val="0"/>
    </w:pPr>
    <w:rPr>
      <w:rFonts w:ascii="Arial Bold" w:hAnsi="Arial Bold" w:cs="Arial"/>
      <w:b/>
      <w:bCs/>
      <w:color w:val="002664"/>
      <w:kern w:val="32"/>
      <w:sz w:val="36"/>
      <w:szCs w:val="36"/>
      <w:lang w:eastAsia="en-US"/>
    </w:rPr>
  </w:style>
  <w:style w:type="paragraph" w:styleId="Heading2">
    <w:name w:val="heading 2"/>
    <w:next w:val="Normal"/>
    <w:autoRedefine/>
    <w:qFormat/>
    <w:rsid w:val="003759E8"/>
    <w:pPr>
      <w:keepNext/>
      <w:numPr>
        <w:ilvl w:val="1"/>
        <w:numId w:val="11"/>
      </w:numPr>
      <w:spacing w:before="240" w:after="240"/>
      <w:outlineLvl w:val="1"/>
    </w:pPr>
    <w:rPr>
      <w:rFonts w:ascii="Arial" w:hAnsi="Arial" w:cs="Arial"/>
      <w:b/>
      <w:bCs/>
      <w:color w:val="002664"/>
      <w:kern w:val="28"/>
      <w:sz w:val="26"/>
      <w:szCs w:val="26"/>
      <w:lang w:eastAsia="en-US"/>
    </w:rPr>
  </w:style>
  <w:style w:type="paragraph" w:styleId="Heading3">
    <w:name w:val="heading 3"/>
    <w:next w:val="Normal"/>
    <w:link w:val="Heading3Char"/>
    <w:autoRedefine/>
    <w:qFormat/>
    <w:rsid w:val="00295EA8"/>
    <w:pPr>
      <w:keepNext/>
      <w:numPr>
        <w:ilvl w:val="2"/>
        <w:numId w:val="11"/>
      </w:numPr>
      <w:tabs>
        <w:tab w:val="clear" w:pos="2127"/>
        <w:tab w:val="num" w:pos="0"/>
      </w:tabs>
      <w:spacing w:before="240" w:after="240"/>
      <w:ind w:left="850" w:hanging="850"/>
      <w:outlineLvl w:val="2"/>
    </w:pPr>
    <w:rPr>
      <w:rFonts w:ascii="Arial" w:hAnsi="Arial" w:cs="Arial"/>
      <w:b/>
      <w:bCs/>
      <w:color w:val="002664"/>
      <w:sz w:val="22"/>
      <w:szCs w:val="22"/>
      <w:lang w:eastAsia="en-US"/>
    </w:rPr>
  </w:style>
  <w:style w:type="paragraph" w:styleId="Heading4">
    <w:name w:val="heading 4"/>
    <w:next w:val="Normal"/>
    <w:qFormat/>
    <w:rsid w:val="003759E8"/>
    <w:pPr>
      <w:keepNext/>
      <w:numPr>
        <w:ilvl w:val="3"/>
        <w:numId w:val="11"/>
      </w:numPr>
      <w:spacing w:before="240" w:after="120"/>
      <w:outlineLvl w:val="3"/>
    </w:pPr>
    <w:rPr>
      <w:rFonts w:ascii="Arial" w:hAnsi="Arial"/>
      <w:b/>
      <w:bCs/>
      <w:color w:val="002664"/>
      <w:sz w:val="22"/>
      <w:szCs w:val="28"/>
      <w:lang w:eastAsia="en-US"/>
    </w:rPr>
  </w:style>
  <w:style w:type="paragraph" w:styleId="Heading5">
    <w:name w:val="heading 5"/>
    <w:basedOn w:val="Normal"/>
    <w:next w:val="Normal"/>
    <w:autoRedefine/>
    <w:qFormat/>
    <w:rsid w:val="003759E8"/>
    <w:pPr>
      <w:numPr>
        <w:ilvl w:val="4"/>
        <w:numId w:val="11"/>
      </w:numPr>
      <w:spacing w:before="180"/>
      <w:outlineLvl w:val="4"/>
    </w:pPr>
    <w:rPr>
      <w:b/>
      <w:bCs/>
      <w:iCs/>
      <w:color w:val="002664"/>
      <w:szCs w:val="26"/>
    </w:rPr>
  </w:style>
  <w:style w:type="paragraph" w:styleId="Heading6">
    <w:name w:val="heading 6"/>
    <w:basedOn w:val="Normal"/>
    <w:next w:val="Normal"/>
    <w:qFormat/>
    <w:rsid w:val="008C1100"/>
    <w:pPr>
      <w:numPr>
        <w:ilvl w:val="5"/>
        <w:numId w:val="11"/>
      </w:numPr>
      <w:outlineLvl w:val="5"/>
    </w:pPr>
    <w:rPr>
      <w:b/>
      <w:bCs/>
      <w:szCs w:val="48"/>
    </w:rPr>
  </w:style>
  <w:style w:type="paragraph" w:styleId="Heading7">
    <w:name w:val="heading 7"/>
    <w:basedOn w:val="Normal"/>
    <w:next w:val="Normal"/>
    <w:qFormat/>
    <w:rsid w:val="003759E8"/>
    <w:pPr>
      <w:outlineLvl w:val="6"/>
    </w:pPr>
    <w:rPr>
      <w:b/>
      <w:color w:val="002664"/>
      <w:sz w:val="36"/>
    </w:rPr>
  </w:style>
  <w:style w:type="paragraph" w:styleId="Heading8">
    <w:name w:val="heading 8"/>
    <w:basedOn w:val="Normal"/>
    <w:next w:val="Normal"/>
    <w:autoRedefine/>
    <w:qFormat/>
    <w:rsid w:val="003759E8"/>
    <w:pPr>
      <w:outlineLvl w:val="7"/>
    </w:pPr>
    <w:rPr>
      <w:b/>
      <w:iCs/>
      <w:color w:val="002664"/>
    </w:rPr>
  </w:style>
  <w:style w:type="paragraph" w:styleId="Heading9">
    <w:name w:val="heading 9"/>
    <w:basedOn w:val="Normal"/>
    <w:next w:val="Normal"/>
    <w:qFormat/>
    <w:rsid w:val="003759E8"/>
    <w:pPr>
      <w:spacing w:before="180"/>
      <w:outlineLvl w:val="8"/>
    </w:pPr>
    <w:rPr>
      <w:rFonts w:cs="Arial"/>
      <w:b/>
      <w:color w:val="00266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650E"/>
    <w:pPr>
      <w:tabs>
        <w:tab w:val="right" w:pos="9639"/>
      </w:tabs>
      <w:spacing w:before="0" w:after="0"/>
    </w:pPr>
    <w:rPr>
      <w:color w:val="808080"/>
      <w:sz w:val="16"/>
    </w:rPr>
  </w:style>
  <w:style w:type="paragraph" w:styleId="Footer">
    <w:name w:val="footer"/>
    <w:basedOn w:val="Normal"/>
    <w:rsid w:val="006E650E"/>
    <w:pPr>
      <w:tabs>
        <w:tab w:val="center" w:pos="4678"/>
        <w:tab w:val="right" w:pos="9356"/>
      </w:tabs>
      <w:spacing w:before="0" w:after="0"/>
    </w:pPr>
    <w:rPr>
      <w:color w:val="808080"/>
      <w:sz w:val="16"/>
    </w:rPr>
  </w:style>
  <w:style w:type="paragraph" w:customStyle="1" w:styleId="CoverTitle">
    <w:name w:val="Cover (Title)"/>
    <w:basedOn w:val="Normal"/>
    <w:rsid w:val="0012792D"/>
    <w:pPr>
      <w:spacing w:before="5000" w:after="0"/>
      <w:jc w:val="right"/>
    </w:pPr>
    <w:rPr>
      <w:color w:val="E31937"/>
      <w:sz w:val="60"/>
    </w:rPr>
  </w:style>
  <w:style w:type="paragraph" w:customStyle="1" w:styleId="CoverSubtitle">
    <w:name w:val="Cover (Subtitle)"/>
    <w:basedOn w:val="Normal"/>
    <w:autoRedefine/>
    <w:rsid w:val="0034318C"/>
    <w:pPr>
      <w:spacing w:after="240"/>
      <w:jc w:val="right"/>
    </w:pPr>
    <w:rPr>
      <w:color w:val="003E7E"/>
      <w:sz w:val="42"/>
    </w:rPr>
  </w:style>
  <w:style w:type="paragraph" w:customStyle="1" w:styleId="CoverProject">
    <w:name w:val="Cover (Project)"/>
    <w:basedOn w:val="Normal"/>
    <w:rsid w:val="002A3975"/>
    <w:pPr>
      <w:jc w:val="right"/>
    </w:pPr>
    <w:rPr>
      <w:color w:val="003E7E"/>
      <w:sz w:val="32"/>
      <w:szCs w:val="32"/>
    </w:rPr>
  </w:style>
  <w:style w:type="paragraph" w:customStyle="1" w:styleId="CoverDetails">
    <w:name w:val="Cover (Details)"/>
    <w:basedOn w:val="Normal"/>
    <w:rsid w:val="00934AC6"/>
    <w:pPr>
      <w:jc w:val="right"/>
    </w:pPr>
  </w:style>
  <w:style w:type="character" w:customStyle="1" w:styleId="PTTCOrange">
    <w:name w:val="PTTC Orange"/>
    <w:basedOn w:val="DefaultParagraphFont"/>
    <w:semiHidden/>
    <w:rsid w:val="0034318C"/>
    <w:rPr>
      <w:color w:val="D54D20"/>
    </w:rPr>
  </w:style>
  <w:style w:type="character" w:customStyle="1" w:styleId="PTTCYellow">
    <w:name w:val="PTTC Yellow"/>
    <w:basedOn w:val="PTTCOrange"/>
    <w:semiHidden/>
    <w:rsid w:val="0034318C"/>
    <w:rPr>
      <w:color w:val="FDB813"/>
    </w:rPr>
  </w:style>
  <w:style w:type="character" w:customStyle="1" w:styleId="PTTCRed">
    <w:name w:val="PTTC Red"/>
    <w:basedOn w:val="PTTCOrange"/>
    <w:semiHidden/>
    <w:rsid w:val="0034318C"/>
    <w:rPr>
      <w:color w:val="AB1320"/>
    </w:rPr>
  </w:style>
  <w:style w:type="character" w:customStyle="1" w:styleId="PTTCSoftWarmGrey">
    <w:name w:val="PTTC Soft Warm Grey"/>
    <w:basedOn w:val="PTTCOrange"/>
    <w:semiHidden/>
    <w:rsid w:val="0034318C"/>
    <w:rPr>
      <w:color w:val="A09A95"/>
    </w:rPr>
  </w:style>
  <w:style w:type="character" w:customStyle="1" w:styleId="PTTCCharcoal">
    <w:name w:val="PTTC Charcoal"/>
    <w:basedOn w:val="PTTCOrange"/>
    <w:semiHidden/>
    <w:rsid w:val="0034318C"/>
    <w:rPr>
      <w:color w:val="5E6463"/>
    </w:rPr>
  </w:style>
  <w:style w:type="paragraph" w:styleId="BodyText">
    <w:name w:val="Body Text"/>
    <w:basedOn w:val="Normal"/>
    <w:link w:val="BodyTextChar"/>
    <w:rsid w:val="003240D5"/>
    <w:pPr>
      <w:spacing w:before="0"/>
    </w:pPr>
  </w:style>
  <w:style w:type="paragraph" w:customStyle="1" w:styleId="AppendixHeading">
    <w:name w:val="Appendix Heading"/>
    <w:basedOn w:val="BodyText"/>
    <w:next w:val="BodyText"/>
    <w:rsid w:val="008C1100"/>
    <w:pPr>
      <w:keepNext/>
      <w:pageBreakBefore/>
      <w:numPr>
        <w:numId w:val="8"/>
      </w:numPr>
    </w:pPr>
    <w:rPr>
      <w:rFonts w:ascii="Arial Bold" w:hAnsi="Arial Bold"/>
      <w:b/>
      <w:color w:val="003E7E"/>
      <w:sz w:val="40"/>
    </w:rPr>
  </w:style>
  <w:style w:type="paragraph" w:customStyle="1" w:styleId="AppendixSubheading">
    <w:name w:val="Appendix Subheading"/>
    <w:next w:val="BodyText"/>
    <w:rsid w:val="009743C5"/>
    <w:pPr>
      <w:spacing w:before="240" w:after="120"/>
      <w:ind w:left="851"/>
    </w:pPr>
    <w:rPr>
      <w:rFonts w:ascii="Arial Bold" w:hAnsi="Arial Bold"/>
      <w:b/>
      <w:color w:val="5F5F5F"/>
      <w:sz w:val="22"/>
      <w:szCs w:val="24"/>
      <w:lang w:eastAsia="en-US"/>
    </w:rPr>
  </w:style>
  <w:style w:type="paragraph" w:styleId="BalloonText">
    <w:name w:val="Balloon Text"/>
    <w:basedOn w:val="Normal"/>
    <w:semiHidden/>
    <w:rsid w:val="003240D5"/>
    <w:rPr>
      <w:rFonts w:ascii="Tahoma" w:hAnsi="Tahoma" w:cs="Tahoma"/>
      <w:sz w:val="16"/>
      <w:szCs w:val="16"/>
    </w:rPr>
  </w:style>
  <w:style w:type="paragraph" w:styleId="BodyText2">
    <w:name w:val="Body Text 2"/>
    <w:basedOn w:val="Normal"/>
    <w:semiHidden/>
    <w:rsid w:val="003240D5"/>
    <w:pPr>
      <w:spacing w:before="0"/>
      <w:ind w:left="1134"/>
    </w:pPr>
  </w:style>
  <w:style w:type="paragraph" w:customStyle="1" w:styleId="Bullet1">
    <w:name w:val="Bullet 1"/>
    <w:rsid w:val="00DE7A72"/>
    <w:pPr>
      <w:numPr>
        <w:numId w:val="9"/>
      </w:numPr>
      <w:spacing w:before="240" w:after="120"/>
      <w:ind w:left="1135" w:hanging="284"/>
    </w:pPr>
    <w:rPr>
      <w:rFonts w:ascii="Arial" w:hAnsi="Arial"/>
      <w:sz w:val="22"/>
      <w:szCs w:val="24"/>
      <w:lang w:eastAsia="en-US"/>
    </w:rPr>
  </w:style>
  <w:style w:type="paragraph" w:customStyle="1" w:styleId="Bullet2">
    <w:name w:val="Bullet 2"/>
    <w:basedOn w:val="Bullet1"/>
    <w:rsid w:val="008C1100"/>
    <w:pPr>
      <w:numPr>
        <w:numId w:val="19"/>
      </w:numPr>
    </w:pPr>
  </w:style>
  <w:style w:type="paragraph" w:styleId="Caption">
    <w:name w:val="caption"/>
    <w:basedOn w:val="Normal"/>
    <w:next w:val="Normal"/>
    <w:qFormat/>
    <w:rsid w:val="00B66CC3"/>
    <w:pPr>
      <w:jc w:val="right"/>
    </w:pPr>
    <w:rPr>
      <w:b/>
      <w:bCs/>
      <w:sz w:val="20"/>
      <w:szCs w:val="20"/>
    </w:rPr>
  </w:style>
  <w:style w:type="character" w:styleId="CommentReference">
    <w:name w:val="annotation reference"/>
    <w:basedOn w:val="DefaultParagraphFont"/>
    <w:semiHidden/>
    <w:rsid w:val="003240D5"/>
    <w:rPr>
      <w:sz w:val="16"/>
      <w:szCs w:val="16"/>
    </w:rPr>
  </w:style>
  <w:style w:type="paragraph" w:styleId="CommentText">
    <w:name w:val="annotation text"/>
    <w:basedOn w:val="Normal"/>
    <w:semiHidden/>
    <w:rsid w:val="003240D5"/>
    <w:rPr>
      <w:sz w:val="20"/>
      <w:szCs w:val="20"/>
    </w:rPr>
  </w:style>
  <w:style w:type="paragraph" w:styleId="CommentSubject">
    <w:name w:val="annotation subject"/>
    <w:basedOn w:val="CommentText"/>
    <w:next w:val="CommentText"/>
    <w:semiHidden/>
    <w:rsid w:val="003240D5"/>
    <w:rPr>
      <w:b/>
      <w:bCs/>
    </w:rPr>
  </w:style>
  <w:style w:type="paragraph" w:styleId="DocumentMap">
    <w:name w:val="Document Map"/>
    <w:basedOn w:val="Normal"/>
    <w:semiHidden/>
    <w:rsid w:val="003240D5"/>
    <w:pPr>
      <w:shd w:val="clear" w:color="auto" w:fill="000080"/>
    </w:pPr>
    <w:rPr>
      <w:rFonts w:ascii="Tahoma" w:hAnsi="Tahoma" w:cs="Tahoma"/>
      <w:sz w:val="20"/>
      <w:szCs w:val="20"/>
    </w:rPr>
  </w:style>
  <w:style w:type="character" w:styleId="Emphasis">
    <w:name w:val="Emphasis"/>
    <w:basedOn w:val="DefaultParagraphFont"/>
    <w:uiPriority w:val="20"/>
    <w:qFormat/>
    <w:rsid w:val="003240D5"/>
    <w:rPr>
      <w:rFonts w:ascii="Arial" w:hAnsi="Arial"/>
      <w:i/>
      <w:iCs/>
    </w:rPr>
  </w:style>
  <w:style w:type="paragraph" w:customStyle="1" w:styleId="FigureTitle">
    <w:name w:val="Figure Title"/>
    <w:next w:val="BodyText"/>
    <w:rsid w:val="008C1100"/>
    <w:pPr>
      <w:keepNext/>
      <w:numPr>
        <w:numId w:val="10"/>
      </w:numPr>
      <w:spacing w:after="120"/>
    </w:pPr>
    <w:rPr>
      <w:rFonts w:ascii="Arial" w:hAnsi="Arial"/>
      <w:color w:val="003E7E"/>
      <w:sz w:val="22"/>
      <w:szCs w:val="24"/>
      <w:lang w:eastAsia="en-US"/>
    </w:rPr>
  </w:style>
  <w:style w:type="paragraph" w:styleId="FootnoteText">
    <w:name w:val="footnote text"/>
    <w:basedOn w:val="Normal"/>
    <w:link w:val="FootnoteTextChar"/>
    <w:uiPriority w:val="99"/>
    <w:semiHidden/>
    <w:rsid w:val="003240D5"/>
    <w:pPr>
      <w:spacing w:before="0" w:after="0"/>
    </w:pPr>
    <w:rPr>
      <w:rFonts w:ascii="Times New Roman" w:hAnsi="Times New Roman"/>
      <w:snapToGrid w:val="0"/>
      <w:sz w:val="20"/>
      <w:szCs w:val="20"/>
    </w:rPr>
  </w:style>
  <w:style w:type="numbering" w:styleId="111111">
    <w:name w:val="Outline List 2"/>
    <w:basedOn w:val="NoList"/>
    <w:semiHidden/>
    <w:rsid w:val="008C1100"/>
    <w:pPr>
      <w:numPr>
        <w:numId w:val="15"/>
      </w:numPr>
    </w:pPr>
  </w:style>
  <w:style w:type="character" w:customStyle="1" w:styleId="HighlightBlue">
    <w:name w:val="Highlight Blue"/>
    <w:basedOn w:val="DefaultParagraphFont"/>
    <w:semiHidden/>
    <w:rsid w:val="003240D5"/>
    <w:rPr>
      <w:rFonts w:ascii="Arial" w:hAnsi="Arial"/>
      <w:color w:val="6A869A"/>
    </w:rPr>
  </w:style>
  <w:style w:type="character" w:customStyle="1" w:styleId="HighlightGrey">
    <w:name w:val="Highlight Grey"/>
    <w:basedOn w:val="DefaultParagraphFont"/>
    <w:semiHidden/>
    <w:rsid w:val="003240D5"/>
    <w:rPr>
      <w:rFonts w:ascii="Arial" w:hAnsi="Arial"/>
      <w:color w:val="999999"/>
    </w:rPr>
  </w:style>
  <w:style w:type="character" w:customStyle="1" w:styleId="HighlightOrange">
    <w:name w:val="Highlight Orange"/>
    <w:basedOn w:val="DefaultParagraphFont"/>
    <w:semiHidden/>
    <w:rsid w:val="003240D5"/>
    <w:rPr>
      <w:rFonts w:ascii="Arial" w:hAnsi="Arial"/>
      <w:color w:val="F6891E"/>
    </w:rPr>
  </w:style>
  <w:style w:type="character" w:styleId="Hyperlink">
    <w:name w:val="Hyperlink"/>
    <w:basedOn w:val="BodyTextChar"/>
    <w:autoRedefine/>
    <w:uiPriority w:val="99"/>
    <w:qFormat/>
    <w:rsid w:val="005E0674"/>
    <w:rPr>
      <w:rFonts w:ascii="Arial" w:hAnsi="Arial"/>
      <w:color w:val="0000FF"/>
      <w:sz w:val="22"/>
      <w:szCs w:val="24"/>
      <w:u w:val="single"/>
      <w:lang w:val="en-AU" w:eastAsia="en-US" w:bidi="ar-SA"/>
    </w:rPr>
  </w:style>
  <w:style w:type="paragraph" w:styleId="Index1">
    <w:name w:val="index 1"/>
    <w:basedOn w:val="Normal"/>
    <w:semiHidden/>
    <w:rsid w:val="003240D5"/>
    <w:pPr>
      <w:spacing w:before="0" w:after="0"/>
      <w:ind w:left="284" w:hanging="284"/>
    </w:pPr>
    <w:rPr>
      <w:sz w:val="18"/>
    </w:rPr>
  </w:style>
  <w:style w:type="paragraph" w:styleId="Index2">
    <w:name w:val="index 2"/>
    <w:basedOn w:val="Normal"/>
    <w:next w:val="Normal"/>
    <w:semiHidden/>
    <w:rsid w:val="008C1100"/>
    <w:pPr>
      <w:numPr>
        <w:ilvl w:val="1"/>
        <w:numId w:val="12"/>
      </w:numPr>
      <w:tabs>
        <w:tab w:val="clear" w:pos="1287"/>
        <w:tab w:val="num" w:pos="1440"/>
      </w:tabs>
      <w:spacing w:before="0" w:after="0"/>
      <w:ind w:left="1440" w:hanging="360"/>
    </w:pPr>
    <w:rPr>
      <w:sz w:val="18"/>
    </w:rPr>
  </w:style>
  <w:style w:type="paragraph" w:styleId="Index3">
    <w:name w:val="index 3"/>
    <w:basedOn w:val="Normal"/>
    <w:next w:val="Normal"/>
    <w:semiHidden/>
    <w:rsid w:val="008C1100"/>
    <w:pPr>
      <w:numPr>
        <w:ilvl w:val="2"/>
        <w:numId w:val="12"/>
      </w:numPr>
      <w:tabs>
        <w:tab w:val="clear" w:pos="1854"/>
        <w:tab w:val="num" w:pos="2160"/>
      </w:tabs>
      <w:spacing w:before="0" w:after="0"/>
      <w:ind w:left="2160" w:hanging="180"/>
    </w:pPr>
    <w:rPr>
      <w:sz w:val="18"/>
    </w:rPr>
  </w:style>
  <w:style w:type="paragraph" w:styleId="IndexHeading">
    <w:name w:val="index heading"/>
    <w:basedOn w:val="Normal"/>
    <w:next w:val="Index1"/>
    <w:semiHidden/>
    <w:rsid w:val="003240D5"/>
    <w:pPr>
      <w:spacing w:before="120" w:after="0"/>
    </w:pPr>
    <w:rPr>
      <w:rFonts w:cs="Arial"/>
      <w:b/>
      <w:bCs/>
    </w:rPr>
  </w:style>
  <w:style w:type="paragraph" w:styleId="List3">
    <w:name w:val="List 3"/>
    <w:basedOn w:val="Normal"/>
    <w:semiHidden/>
    <w:rsid w:val="003240D5"/>
    <w:pPr>
      <w:ind w:left="849" w:hanging="283"/>
    </w:pPr>
  </w:style>
  <w:style w:type="paragraph" w:styleId="ListBullet2">
    <w:name w:val="List Bullet 2"/>
    <w:basedOn w:val="Normal"/>
    <w:semiHidden/>
    <w:rsid w:val="008C1100"/>
    <w:pPr>
      <w:numPr>
        <w:numId w:val="12"/>
      </w:numPr>
      <w:tabs>
        <w:tab w:val="clear" w:pos="0"/>
        <w:tab w:val="num" w:pos="1418"/>
      </w:tabs>
      <w:ind w:left="1418" w:hanging="567"/>
    </w:pPr>
  </w:style>
  <w:style w:type="paragraph" w:styleId="ListNumber">
    <w:name w:val="List Number"/>
    <w:basedOn w:val="Normal"/>
    <w:semiHidden/>
    <w:rsid w:val="008C1100"/>
    <w:pPr>
      <w:numPr>
        <w:numId w:val="13"/>
      </w:numPr>
      <w:tabs>
        <w:tab w:val="clear" w:pos="717"/>
        <w:tab w:val="num" w:pos="284"/>
      </w:tabs>
      <w:ind w:left="284" w:hanging="284"/>
    </w:pPr>
  </w:style>
  <w:style w:type="paragraph" w:styleId="ListNumber3">
    <w:name w:val="List Number 3"/>
    <w:basedOn w:val="Normal"/>
    <w:semiHidden/>
    <w:rsid w:val="003240D5"/>
    <w:pPr>
      <w:tabs>
        <w:tab w:val="num" w:pos="2058"/>
      </w:tabs>
      <w:ind w:left="2058" w:hanging="567"/>
    </w:pPr>
  </w:style>
  <w:style w:type="paragraph" w:customStyle="1" w:styleId="NonTOCHeading">
    <w:name w:val="Non TOC Heading"/>
    <w:next w:val="BodyText"/>
    <w:rsid w:val="008C1100"/>
    <w:pPr>
      <w:keepNext/>
      <w:spacing w:before="240" w:after="120"/>
    </w:pPr>
    <w:rPr>
      <w:rFonts w:ascii="Arial Bold" w:hAnsi="Arial Bold"/>
      <w:b/>
      <w:color w:val="002664"/>
      <w:sz w:val="32"/>
      <w:szCs w:val="28"/>
      <w:lang w:eastAsia="en-US"/>
    </w:rPr>
  </w:style>
  <w:style w:type="numbering" w:styleId="1ai">
    <w:name w:val="Outline List 1"/>
    <w:basedOn w:val="NoList"/>
    <w:semiHidden/>
    <w:rsid w:val="008C1100"/>
    <w:pPr>
      <w:numPr>
        <w:numId w:val="16"/>
      </w:numPr>
    </w:pPr>
  </w:style>
  <w:style w:type="numbering" w:styleId="ArticleSection">
    <w:name w:val="Outline List 3"/>
    <w:basedOn w:val="NoList"/>
    <w:semiHidden/>
    <w:rsid w:val="008C1100"/>
    <w:pPr>
      <w:numPr>
        <w:numId w:val="17"/>
      </w:numPr>
    </w:pPr>
  </w:style>
  <w:style w:type="paragraph" w:customStyle="1" w:styleId="NumberedList">
    <w:name w:val="Numbered List"/>
    <w:rsid w:val="008C1100"/>
    <w:pPr>
      <w:numPr>
        <w:numId w:val="21"/>
      </w:numPr>
      <w:spacing w:after="120"/>
    </w:pPr>
    <w:rPr>
      <w:rFonts w:ascii="Arial" w:hAnsi="Arial"/>
      <w:sz w:val="22"/>
      <w:szCs w:val="24"/>
      <w:lang w:eastAsia="en-US"/>
    </w:rPr>
  </w:style>
  <w:style w:type="character" w:styleId="PageNumber">
    <w:name w:val="page number"/>
    <w:basedOn w:val="DefaultParagraphFont"/>
    <w:semiHidden/>
    <w:rsid w:val="003240D5"/>
    <w:rPr>
      <w:rFonts w:ascii="Arial" w:hAnsi="Arial"/>
    </w:rPr>
  </w:style>
  <w:style w:type="paragraph" w:customStyle="1" w:styleId="ProjectName">
    <w:name w:val="Project Name"/>
    <w:basedOn w:val="Header"/>
    <w:semiHidden/>
    <w:rsid w:val="003240D5"/>
    <w:pPr>
      <w:spacing w:before="240" w:after="120"/>
      <w:ind w:right="567"/>
      <w:jc w:val="right"/>
    </w:pPr>
    <w:rPr>
      <w:color w:val="FFFFFF"/>
      <w:sz w:val="24"/>
      <w:szCs w:val="20"/>
    </w:rPr>
  </w:style>
  <w:style w:type="paragraph" w:customStyle="1" w:styleId="Reference">
    <w:name w:val="Reference"/>
    <w:basedOn w:val="Normal"/>
    <w:autoRedefine/>
    <w:rsid w:val="008C1100"/>
    <w:pPr>
      <w:numPr>
        <w:numId w:val="14"/>
      </w:numPr>
      <w:tabs>
        <w:tab w:val="clear" w:pos="0"/>
        <w:tab w:val="num" w:pos="360"/>
      </w:tabs>
      <w:spacing w:before="0" w:after="0"/>
      <w:ind w:left="360" w:hanging="360"/>
    </w:pPr>
    <w:rPr>
      <w:sz w:val="20"/>
      <w:szCs w:val="20"/>
    </w:rPr>
  </w:style>
  <w:style w:type="paragraph" w:customStyle="1" w:styleId="Result">
    <w:name w:val="Result"/>
    <w:basedOn w:val="BodyText2"/>
    <w:rsid w:val="00BC42B0"/>
    <w:pPr>
      <w:ind w:left="1247"/>
    </w:pPr>
    <w:rPr>
      <w:i/>
      <w:color w:val="5E6463"/>
    </w:rPr>
  </w:style>
  <w:style w:type="paragraph" w:styleId="BlockText">
    <w:name w:val="Block Text"/>
    <w:basedOn w:val="Normal"/>
    <w:semiHidden/>
    <w:rsid w:val="003240D5"/>
    <w:pPr>
      <w:ind w:left="1440" w:right="1440"/>
    </w:pPr>
  </w:style>
  <w:style w:type="paragraph" w:styleId="BodyText3">
    <w:name w:val="Body Text 3"/>
    <w:basedOn w:val="Normal"/>
    <w:semiHidden/>
    <w:rsid w:val="003240D5"/>
    <w:rPr>
      <w:sz w:val="16"/>
      <w:szCs w:val="16"/>
    </w:rPr>
  </w:style>
  <w:style w:type="paragraph" w:customStyle="1" w:styleId="StyleTableColumnHeadingLeft">
    <w:name w:val="Style Table Column Heading + Left"/>
    <w:basedOn w:val="Normal"/>
    <w:semiHidden/>
    <w:rsid w:val="003240D5"/>
    <w:rPr>
      <w:b/>
      <w:bCs/>
      <w:szCs w:val="20"/>
    </w:rPr>
  </w:style>
  <w:style w:type="paragraph" w:styleId="Subtitle">
    <w:name w:val="Subtitle"/>
    <w:basedOn w:val="Normal"/>
    <w:qFormat/>
    <w:rsid w:val="00F0498B"/>
    <w:pPr>
      <w:spacing w:before="120" w:after="0"/>
    </w:pPr>
    <w:rPr>
      <w:rFonts w:cs="Arial"/>
      <w:color w:val="000000" w:themeColor="text1"/>
      <w:sz w:val="40"/>
      <w:szCs w:val="48"/>
    </w:rPr>
  </w:style>
  <w:style w:type="paragraph" w:customStyle="1" w:styleId="TableBodyText">
    <w:name w:val="Table Body Text"/>
    <w:autoRedefine/>
    <w:qFormat/>
    <w:rsid w:val="003240D5"/>
    <w:rPr>
      <w:rFonts w:ascii="Arial" w:hAnsi="Arial"/>
      <w:szCs w:val="24"/>
      <w:lang w:eastAsia="en-US"/>
    </w:rPr>
  </w:style>
  <w:style w:type="paragraph" w:customStyle="1" w:styleId="TableBulleted">
    <w:name w:val="Table Bulleted"/>
    <w:basedOn w:val="TableBodyText"/>
    <w:rsid w:val="008C1100"/>
    <w:pPr>
      <w:numPr>
        <w:numId w:val="22"/>
      </w:numPr>
      <w:spacing w:after="60"/>
    </w:pPr>
  </w:style>
  <w:style w:type="table" w:styleId="TableGrid">
    <w:name w:val="Table Grid"/>
    <w:basedOn w:val="TableNormal"/>
    <w:uiPriority w:val="59"/>
    <w:rsid w:val="00DC2352"/>
    <w:rPr>
      <w:rFonts w:ascii="Arial" w:hAnsi="Arial"/>
    </w:rPr>
    <w:tblPr>
      <w:tblInd w:w="9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bottom w:w="57" w:type="dxa"/>
      </w:tblCellMar>
    </w:tblPr>
    <w:trPr>
      <w:cantSplit/>
    </w:trPr>
    <w:tcPr>
      <w:shd w:val="clear" w:color="auto" w:fill="auto"/>
    </w:tcPr>
    <w:tblStylePr w:type="firstRow">
      <w:rPr>
        <w:rFonts w:ascii="Arial" w:hAnsi="Arial"/>
        <w:b/>
        <w:color w:val="FFFFFF"/>
        <w:sz w:val="22"/>
      </w:rPr>
      <w:tblPr/>
      <w:tcPr>
        <w:shd w:val="clear" w:color="auto" w:fill="999999"/>
      </w:tcPr>
    </w:tblStylePr>
  </w:style>
  <w:style w:type="table" w:styleId="TableGrid1">
    <w:name w:val="Table Grid 1"/>
    <w:aliases w:val="Left Column Shading"/>
    <w:basedOn w:val="TableNormal"/>
    <w:rsid w:val="00DC2352"/>
    <w:rPr>
      <w:rFonts w:ascii="Arial" w:hAnsi="Arial"/>
    </w:rPr>
    <w:tblPr>
      <w:tblInd w:w="9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bottom w:w="57" w:type="dxa"/>
      </w:tblCellMar>
    </w:tblPr>
    <w:trPr>
      <w:cantSplit/>
    </w:trPr>
    <w:tcPr>
      <w:shd w:val="clear" w:color="auto" w:fill="auto"/>
    </w:tcPr>
    <w:tblStylePr w:type="lastRow">
      <w:rPr>
        <w:i w:val="0"/>
        <w:iCs/>
      </w:rPr>
      <w:tblPr/>
      <w:tcPr>
        <w:tcBorders>
          <w:tl2br w:val="none" w:sz="0" w:space="0" w:color="auto"/>
          <w:tr2bl w:val="none" w:sz="0" w:space="0" w:color="auto"/>
        </w:tcBorders>
      </w:tcPr>
    </w:tblStylePr>
    <w:tblStylePr w:type="firstCol">
      <w:rPr>
        <w:rFonts w:ascii="Cambria" w:hAnsi="Cambria"/>
        <w:b/>
        <w:i w:val="0"/>
        <w:color w:val="FFFFFF"/>
        <w:sz w:val="22"/>
      </w:rPr>
      <w:tblPr/>
      <w:tcPr>
        <w:shd w:val="clear" w:color="auto" w:fill="999999"/>
      </w:tcPr>
    </w:tblStylePr>
    <w:tblStylePr w:type="lastCol">
      <w:rPr>
        <w:i w:val="0"/>
        <w:iCs/>
      </w:rPr>
      <w:tblPr/>
      <w:tcPr>
        <w:tcBorders>
          <w:tl2br w:val="none" w:sz="0" w:space="0" w:color="auto"/>
          <w:tr2bl w:val="none" w:sz="0" w:space="0" w:color="auto"/>
        </w:tcBorders>
      </w:tcPr>
    </w:tblStylePr>
  </w:style>
  <w:style w:type="paragraph" w:customStyle="1" w:styleId="TableHeading">
    <w:name w:val="Table Heading"/>
    <w:basedOn w:val="Normal"/>
    <w:rsid w:val="008C1100"/>
    <w:pPr>
      <w:spacing w:before="0" w:after="0"/>
    </w:pPr>
    <w:rPr>
      <w:rFonts w:ascii="Arial Bold" w:hAnsi="Arial Bold"/>
      <w:b/>
      <w:color w:val="FFFFFF" w:themeColor="background1"/>
    </w:rPr>
  </w:style>
  <w:style w:type="paragraph" w:customStyle="1" w:styleId="TableNumbered">
    <w:name w:val="Table Numbered"/>
    <w:basedOn w:val="TableBodyText"/>
    <w:rsid w:val="008C1100"/>
    <w:pPr>
      <w:numPr>
        <w:numId w:val="20"/>
      </w:numPr>
      <w:spacing w:after="60"/>
    </w:pPr>
    <w:rPr>
      <w:color w:val="000000"/>
    </w:rPr>
  </w:style>
  <w:style w:type="paragraph" w:styleId="TableofFigures">
    <w:name w:val="table of figures"/>
    <w:basedOn w:val="Normal"/>
    <w:next w:val="Normal"/>
    <w:semiHidden/>
    <w:rsid w:val="00CE582D"/>
    <w:rPr>
      <w:sz w:val="24"/>
    </w:rPr>
  </w:style>
  <w:style w:type="character" w:customStyle="1" w:styleId="NSWBlue">
    <w:name w:val="NSW Blue"/>
    <w:basedOn w:val="DefaultParagraphFont"/>
    <w:rsid w:val="002A3975"/>
    <w:rPr>
      <w:color w:val="003E7E"/>
    </w:rPr>
  </w:style>
  <w:style w:type="paragraph" w:styleId="Title">
    <w:name w:val="Title"/>
    <w:basedOn w:val="Normal"/>
    <w:next w:val="Normal"/>
    <w:link w:val="TitleChar"/>
    <w:qFormat/>
    <w:rsid w:val="003759E8"/>
    <w:pPr>
      <w:spacing w:before="3840" w:after="0"/>
      <w:ind w:right="567"/>
    </w:pPr>
    <w:rPr>
      <w:rFonts w:cs="Arial"/>
      <w:b/>
      <w:bCs/>
      <w:color w:val="002664"/>
      <w:kern w:val="28"/>
      <w:sz w:val="60"/>
      <w:szCs w:val="32"/>
    </w:rPr>
  </w:style>
  <w:style w:type="paragraph" w:styleId="TOC1">
    <w:name w:val="toc 1"/>
    <w:basedOn w:val="Normal"/>
    <w:next w:val="Normal"/>
    <w:uiPriority w:val="39"/>
    <w:rsid w:val="00CE582D"/>
    <w:pPr>
      <w:keepNext/>
      <w:tabs>
        <w:tab w:val="left" w:pos="1418"/>
        <w:tab w:val="right" w:leader="dot" w:pos="9356"/>
      </w:tabs>
      <w:spacing w:before="180" w:after="0"/>
      <w:ind w:left="1208" w:hanging="357"/>
    </w:pPr>
    <w:rPr>
      <w:szCs w:val="22"/>
    </w:rPr>
  </w:style>
  <w:style w:type="paragraph" w:styleId="TOC2">
    <w:name w:val="toc 2"/>
    <w:basedOn w:val="Normal"/>
    <w:next w:val="Normal"/>
    <w:uiPriority w:val="39"/>
    <w:rsid w:val="003240D5"/>
    <w:pPr>
      <w:tabs>
        <w:tab w:val="left" w:pos="1985"/>
        <w:tab w:val="right" w:leader="dot" w:pos="9356"/>
      </w:tabs>
      <w:spacing w:before="0" w:after="0"/>
      <w:ind w:left="1418"/>
    </w:pPr>
  </w:style>
  <w:style w:type="paragraph" w:styleId="TOC3">
    <w:name w:val="toc 3"/>
    <w:basedOn w:val="Normal"/>
    <w:next w:val="Normal"/>
    <w:uiPriority w:val="39"/>
    <w:rsid w:val="003240D5"/>
    <w:pPr>
      <w:tabs>
        <w:tab w:val="left" w:pos="2835"/>
        <w:tab w:val="right" w:leader="dot" w:pos="9356"/>
      </w:tabs>
      <w:spacing w:before="0" w:after="0"/>
      <w:ind w:left="1985"/>
    </w:pPr>
  </w:style>
  <w:style w:type="paragraph" w:styleId="TOC4">
    <w:name w:val="toc 4"/>
    <w:basedOn w:val="Normal"/>
    <w:next w:val="Normal"/>
    <w:autoRedefine/>
    <w:semiHidden/>
    <w:rsid w:val="003240D5"/>
    <w:pPr>
      <w:ind w:left="660"/>
    </w:pPr>
  </w:style>
  <w:style w:type="paragraph" w:styleId="TOC6">
    <w:name w:val="toc 6"/>
    <w:basedOn w:val="Normal"/>
    <w:next w:val="Normal"/>
    <w:autoRedefine/>
    <w:semiHidden/>
    <w:rsid w:val="003240D5"/>
    <w:pPr>
      <w:ind w:left="1100"/>
    </w:pPr>
  </w:style>
  <w:style w:type="paragraph" w:styleId="BodyTextFirstIndent">
    <w:name w:val="Body Text First Indent"/>
    <w:basedOn w:val="BodyText"/>
    <w:semiHidden/>
    <w:rsid w:val="003240D5"/>
    <w:pPr>
      <w:spacing w:before="60"/>
      <w:ind w:left="0" w:firstLine="210"/>
    </w:pPr>
  </w:style>
  <w:style w:type="paragraph" w:styleId="BodyTextIndent">
    <w:name w:val="Body Text Indent"/>
    <w:basedOn w:val="Normal"/>
    <w:rsid w:val="00BC42B0"/>
    <w:pPr>
      <w:ind w:left="1247"/>
    </w:pPr>
  </w:style>
  <w:style w:type="paragraph" w:styleId="BodyTextFirstIndent2">
    <w:name w:val="Body Text First Indent 2"/>
    <w:basedOn w:val="BodyTextIndent"/>
    <w:semiHidden/>
    <w:rsid w:val="003240D5"/>
    <w:pPr>
      <w:ind w:firstLine="210"/>
    </w:pPr>
  </w:style>
  <w:style w:type="paragraph" w:styleId="BodyTextIndent2">
    <w:name w:val="Body Text Indent 2"/>
    <w:basedOn w:val="Normal"/>
    <w:semiHidden/>
    <w:rsid w:val="003240D5"/>
    <w:pPr>
      <w:spacing w:line="480" w:lineRule="auto"/>
      <w:ind w:left="283"/>
    </w:pPr>
  </w:style>
  <w:style w:type="paragraph" w:styleId="BodyTextIndent3">
    <w:name w:val="Body Text Indent 3"/>
    <w:basedOn w:val="Normal"/>
    <w:semiHidden/>
    <w:rsid w:val="003240D5"/>
    <w:pPr>
      <w:ind w:left="283"/>
    </w:pPr>
    <w:rPr>
      <w:sz w:val="16"/>
      <w:szCs w:val="16"/>
    </w:rPr>
  </w:style>
  <w:style w:type="paragraph" w:styleId="Closing">
    <w:name w:val="Closing"/>
    <w:basedOn w:val="Normal"/>
    <w:semiHidden/>
    <w:rsid w:val="003240D5"/>
    <w:pPr>
      <w:ind w:left="4252"/>
    </w:pPr>
  </w:style>
  <w:style w:type="paragraph" w:styleId="Date">
    <w:name w:val="Date"/>
    <w:basedOn w:val="Normal"/>
    <w:next w:val="Normal"/>
    <w:semiHidden/>
    <w:rsid w:val="003240D5"/>
  </w:style>
  <w:style w:type="paragraph" w:styleId="E-mailSignature">
    <w:name w:val="E-mail Signature"/>
    <w:basedOn w:val="Normal"/>
    <w:semiHidden/>
    <w:rsid w:val="003240D5"/>
  </w:style>
  <w:style w:type="paragraph" w:styleId="EnvelopeAddress">
    <w:name w:val="envelope address"/>
    <w:basedOn w:val="Normal"/>
    <w:semiHidden/>
    <w:rsid w:val="003240D5"/>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3240D5"/>
    <w:rPr>
      <w:rFonts w:cs="Arial"/>
      <w:sz w:val="20"/>
      <w:szCs w:val="20"/>
    </w:rPr>
  </w:style>
  <w:style w:type="character" w:styleId="FollowedHyperlink">
    <w:name w:val="FollowedHyperlink"/>
    <w:basedOn w:val="DefaultParagraphFont"/>
    <w:semiHidden/>
    <w:rsid w:val="003240D5"/>
    <w:rPr>
      <w:color w:val="800080"/>
      <w:u w:val="single"/>
    </w:rPr>
  </w:style>
  <w:style w:type="character" w:styleId="HTMLAcronym">
    <w:name w:val="HTML Acronym"/>
    <w:basedOn w:val="DefaultParagraphFont"/>
    <w:semiHidden/>
    <w:rsid w:val="003240D5"/>
  </w:style>
  <w:style w:type="paragraph" w:styleId="HTMLAddress">
    <w:name w:val="HTML Address"/>
    <w:basedOn w:val="Normal"/>
    <w:semiHidden/>
    <w:rsid w:val="003240D5"/>
    <w:rPr>
      <w:i/>
      <w:iCs/>
    </w:rPr>
  </w:style>
  <w:style w:type="character" w:styleId="HTMLCite">
    <w:name w:val="HTML Cite"/>
    <w:basedOn w:val="DefaultParagraphFont"/>
    <w:semiHidden/>
    <w:rsid w:val="003240D5"/>
    <w:rPr>
      <w:i/>
      <w:iCs/>
    </w:rPr>
  </w:style>
  <w:style w:type="character" w:styleId="HTMLCode">
    <w:name w:val="HTML Code"/>
    <w:basedOn w:val="DefaultParagraphFont"/>
    <w:semiHidden/>
    <w:rsid w:val="003240D5"/>
    <w:rPr>
      <w:rFonts w:ascii="Courier New" w:hAnsi="Courier New" w:cs="Courier New"/>
      <w:sz w:val="20"/>
      <w:szCs w:val="20"/>
    </w:rPr>
  </w:style>
  <w:style w:type="character" w:styleId="HTMLDefinition">
    <w:name w:val="HTML Definition"/>
    <w:basedOn w:val="DefaultParagraphFont"/>
    <w:semiHidden/>
    <w:rsid w:val="003240D5"/>
    <w:rPr>
      <w:i/>
      <w:iCs/>
    </w:rPr>
  </w:style>
  <w:style w:type="character" w:styleId="HTMLKeyboard">
    <w:name w:val="HTML Keyboard"/>
    <w:basedOn w:val="DefaultParagraphFont"/>
    <w:semiHidden/>
    <w:rsid w:val="003240D5"/>
    <w:rPr>
      <w:rFonts w:ascii="Courier New" w:hAnsi="Courier New" w:cs="Courier New"/>
      <w:sz w:val="20"/>
      <w:szCs w:val="20"/>
    </w:rPr>
  </w:style>
  <w:style w:type="paragraph" w:styleId="HTMLPreformatted">
    <w:name w:val="HTML Preformatted"/>
    <w:basedOn w:val="Normal"/>
    <w:semiHidden/>
    <w:rsid w:val="003240D5"/>
    <w:rPr>
      <w:rFonts w:ascii="Courier New" w:hAnsi="Courier New" w:cs="Courier New"/>
      <w:sz w:val="20"/>
      <w:szCs w:val="20"/>
    </w:rPr>
  </w:style>
  <w:style w:type="character" w:styleId="HTMLSample">
    <w:name w:val="HTML Sample"/>
    <w:basedOn w:val="DefaultParagraphFont"/>
    <w:semiHidden/>
    <w:rsid w:val="003240D5"/>
    <w:rPr>
      <w:rFonts w:ascii="Courier New" w:hAnsi="Courier New" w:cs="Courier New"/>
    </w:rPr>
  </w:style>
  <w:style w:type="character" w:styleId="HTMLTypewriter">
    <w:name w:val="HTML Typewriter"/>
    <w:basedOn w:val="DefaultParagraphFont"/>
    <w:semiHidden/>
    <w:rsid w:val="003240D5"/>
    <w:rPr>
      <w:rFonts w:ascii="Courier New" w:hAnsi="Courier New" w:cs="Courier New"/>
      <w:sz w:val="20"/>
      <w:szCs w:val="20"/>
    </w:rPr>
  </w:style>
  <w:style w:type="character" w:styleId="HTMLVariable">
    <w:name w:val="HTML Variable"/>
    <w:basedOn w:val="DefaultParagraphFont"/>
    <w:semiHidden/>
    <w:rsid w:val="003240D5"/>
    <w:rPr>
      <w:i/>
      <w:iCs/>
    </w:rPr>
  </w:style>
  <w:style w:type="character" w:styleId="LineNumber">
    <w:name w:val="line number"/>
    <w:basedOn w:val="DefaultParagraphFont"/>
    <w:semiHidden/>
    <w:rsid w:val="003240D5"/>
  </w:style>
  <w:style w:type="paragraph" w:styleId="List">
    <w:name w:val="List"/>
    <w:basedOn w:val="Normal"/>
    <w:semiHidden/>
    <w:rsid w:val="003240D5"/>
    <w:pPr>
      <w:ind w:left="283" w:hanging="283"/>
    </w:pPr>
  </w:style>
  <w:style w:type="paragraph" w:styleId="List2">
    <w:name w:val="List 2"/>
    <w:basedOn w:val="Normal"/>
    <w:semiHidden/>
    <w:rsid w:val="003240D5"/>
    <w:pPr>
      <w:ind w:left="566" w:hanging="283"/>
    </w:pPr>
  </w:style>
  <w:style w:type="paragraph" w:styleId="List4">
    <w:name w:val="List 4"/>
    <w:basedOn w:val="Normal"/>
    <w:semiHidden/>
    <w:rsid w:val="003240D5"/>
    <w:pPr>
      <w:ind w:left="1132" w:hanging="283"/>
    </w:pPr>
  </w:style>
  <w:style w:type="paragraph" w:styleId="List5">
    <w:name w:val="List 5"/>
    <w:basedOn w:val="Normal"/>
    <w:semiHidden/>
    <w:rsid w:val="003240D5"/>
    <w:pPr>
      <w:ind w:left="1415" w:hanging="283"/>
    </w:pPr>
  </w:style>
  <w:style w:type="paragraph" w:styleId="ListBullet">
    <w:name w:val="List Bullet"/>
    <w:basedOn w:val="Normal"/>
    <w:autoRedefine/>
    <w:semiHidden/>
    <w:rsid w:val="008C1100"/>
    <w:pPr>
      <w:numPr>
        <w:numId w:val="1"/>
      </w:numPr>
    </w:pPr>
  </w:style>
  <w:style w:type="paragraph" w:styleId="ListBullet3">
    <w:name w:val="List Bullet 3"/>
    <w:basedOn w:val="Normal"/>
    <w:autoRedefine/>
    <w:semiHidden/>
    <w:rsid w:val="008C1100"/>
    <w:pPr>
      <w:numPr>
        <w:numId w:val="2"/>
      </w:numPr>
    </w:pPr>
  </w:style>
  <w:style w:type="paragraph" w:styleId="ListBullet4">
    <w:name w:val="List Bullet 4"/>
    <w:basedOn w:val="Normal"/>
    <w:autoRedefine/>
    <w:semiHidden/>
    <w:rsid w:val="008C1100"/>
    <w:pPr>
      <w:numPr>
        <w:numId w:val="3"/>
      </w:numPr>
    </w:pPr>
  </w:style>
  <w:style w:type="paragraph" w:styleId="ListBullet5">
    <w:name w:val="List Bullet 5"/>
    <w:basedOn w:val="Normal"/>
    <w:autoRedefine/>
    <w:semiHidden/>
    <w:rsid w:val="008C1100"/>
    <w:pPr>
      <w:numPr>
        <w:numId w:val="4"/>
      </w:numPr>
    </w:pPr>
  </w:style>
  <w:style w:type="paragraph" w:styleId="ListContinue">
    <w:name w:val="List Continue"/>
    <w:basedOn w:val="Normal"/>
    <w:semiHidden/>
    <w:rsid w:val="003240D5"/>
    <w:pPr>
      <w:ind w:left="283"/>
    </w:pPr>
  </w:style>
  <w:style w:type="paragraph" w:styleId="ListContinue2">
    <w:name w:val="List Continue 2"/>
    <w:basedOn w:val="Normal"/>
    <w:semiHidden/>
    <w:rsid w:val="003240D5"/>
    <w:pPr>
      <w:ind w:left="566"/>
    </w:pPr>
  </w:style>
  <w:style w:type="paragraph" w:styleId="ListContinue3">
    <w:name w:val="List Continue 3"/>
    <w:basedOn w:val="Normal"/>
    <w:semiHidden/>
    <w:rsid w:val="003240D5"/>
    <w:pPr>
      <w:ind w:left="849"/>
    </w:pPr>
  </w:style>
  <w:style w:type="paragraph" w:styleId="ListContinue4">
    <w:name w:val="List Continue 4"/>
    <w:basedOn w:val="Normal"/>
    <w:semiHidden/>
    <w:rsid w:val="003240D5"/>
    <w:pPr>
      <w:ind w:left="1132"/>
    </w:pPr>
  </w:style>
  <w:style w:type="paragraph" w:styleId="ListContinue5">
    <w:name w:val="List Continue 5"/>
    <w:basedOn w:val="Normal"/>
    <w:semiHidden/>
    <w:rsid w:val="003240D5"/>
    <w:pPr>
      <w:ind w:left="1415"/>
    </w:pPr>
  </w:style>
  <w:style w:type="paragraph" w:styleId="ListNumber2">
    <w:name w:val="List Number 2"/>
    <w:basedOn w:val="Normal"/>
    <w:semiHidden/>
    <w:rsid w:val="008C1100"/>
    <w:pPr>
      <w:numPr>
        <w:numId w:val="7"/>
      </w:numPr>
    </w:pPr>
  </w:style>
  <w:style w:type="paragraph" w:styleId="ListNumber4">
    <w:name w:val="List Number 4"/>
    <w:basedOn w:val="Normal"/>
    <w:semiHidden/>
    <w:rsid w:val="008C1100"/>
    <w:pPr>
      <w:numPr>
        <w:numId w:val="6"/>
      </w:numPr>
    </w:pPr>
  </w:style>
  <w:style w:type="paragraph" w:styleId="ListNumber5">
    <w:name w:val="List Number 5"/>
    <w:basedOn w:val="Normal"/>
    <w:semiHidden/>
    <w:rsid w:val="008C1100"/>
    <w:pPr>
      <w:numPr>
        <w:numId w:val="5"/>
      </w:numPr>
    </w:pPr>
  </w:style>
  <w:style w:type="paragraph" w:styleId="MessageHeader">
    <w:name w:val="Message Header"/>
    <w:basedOn w:val="Normal"/>
    <w:semiHidden/>
    <w:rsid w:val="003240D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rsid w:val="003240D5"/>
    <w:rPr>
      <w:rFonts w:ascii="Times New Roman" w:hAnsi="Times New Roman"/>
      <w:sz w:val="24"/>
    </w:rPr>
  </w:style>
  <w:style w:type="paragraph" w:styleId="NormalIndent">
    <w:name w:val="Normal Indent"/>
    <w:basedOn w:val="Normal"/>
    <w:semiHidden/>
    <w:rsid w:val="003240D5"/>
    <w:pPr>
      <w:ind w:left="720"/>
    </w:pPr>
  </w:style>
  <w:style w:type="paragraph" w:styleId="NoteHeading">
    <w:name w:val="Note Heading"/>
    <w:basedOn w:val="Normal"/>
    <w:next w:val="Normal"/>
    <w:semiHidden/>
    <w:rsid w:val="003240D5"/>
  </w:style>
  <w:style w:type="paragraph" w:styleId="PlainText">
    <w:name w:val="Plain Text"/>
    <w:basedOn w:val="Normal"/>
    <w:semiHidden/>
    <w:rsid w:val="003240D5"/>
    <w:rPr>
      <w:rFonts w:ascii="Courier New" w:hAnsi="Courier New" w:cs="Courier New"/>
      <w:sz w:val="20"/>
      <w:szCs w:val="20"/>
    </w:rPr>
  </w:style>
  <w:style w:type="paragraph" w:styleId="Salutation">
    <w:name w:val="Salutation"/>
    <w:basedOn w:val="Normal"/>
    <w:next w:val="Normal"/>
    <w:semiHidden/>
    <w:rsid w:val="003240D5"/>
  </w:style>
  <w:style w:type="paragraph" w:styleId="Signature">
    <w:name w:val="Signature"/>
    <w:basedOn w:val="Normal"/>
    <w:semiHidden/>
    <w:rsid w:val="003240D5"/>
    <w:pPr>
      <w:ind w:left="4252"/>
    </w:pPr>
  </w:style>
  <w:style w:type="character" w:styleId="Strong">
    <w:name w:val="Strong"/>
    <w:basedOn w:val="BodyTextChar"/>
    <w:uiPriority w:val="22"/>
    <w:qFormat/>
    <w:rsid w:val="003240D5"/>
    <w:rPr>
      <w:rFonts w:ascii="Arial" w:hAnsi="Arial"/>
      <w:b/>
      <w:bCs/>
      <w:sz w:val="22"/>
      <w:szCs w:val="24"/>
      <w:lang w:val="en-AU" w:eastAsia="en-US" w:bidi="ar-SA"/>
    </w:rPr>
  </w:style>
  <w:style w:type="table" w:styleId="Table3Deffects1">
    <w:name w:val="Table 3D effects 1"/>
    <w:basedOn w:val="TableNormal"/>
    <w:semiHidden/>
    <w:rsid w:val="003240D5"/>
    <w:pPr>
      <w:spacing w:before="60" w:after="6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240D5"/>
    <w:pPr>
      <w:spacing w:before="60" w:after="6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240D5"/>
    <w:pPr>
      <w:spacing w:before="60" w:after="6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240D5"/>
    <w:pPr>
      <w:spacing w:before="60" w:after="6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240D5"/>
    <w:pPr>
      <w:spacing w:before="60" w:after="6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240D5"/>
    <w:pPr>
      <w:spacing w:before="60" w:after="6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240D5"/>
    <w:pPr>
      <w:spacing w:before="60" w:after="6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240D5"/>
    <w:pPr>
      <w:spacing w:before="60" w:after="6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240D5"/>
    <w:pPr>
      <w:spacing w:before="60" w:after="6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240D5"/>
    <w:pPr>
      <w:spacing w:before="60" w:after="6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240D5"/>
    <w:pPr>
      <w:spacing w:before="60" w:after="6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240D5"/>
    <w:pPr>
      <w:spacing w:before="60" w:after="6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240D5"/>
    <w:pPr>
      <w:spacing w:before="60" w:after="6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240D5"/>
    <w:pPr>
      <w:spacing w:before="60" w:after="6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240D5"/>
    <w:pPr>
      <w:spacing w:before="60" w:after="6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240D5"/>
    <w:pPr>
      <w:spacing w:before="60" w:after="6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240D5"/>
    <w:pPr>
      <w:spacing w:before="60" w:after="6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
    <w:name w:val="Table Grid 2"/>
    <w:basedOn w:val="TableNormal"/>
    <w:semiHidden/>
    <w:rsid w:val="003240D5"/>
    <w:pPr>
      <w:spacing w:before="60" w:after="6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240D5"/>
    <w:pPr>
      <w:spacing w:before="60" w:after="6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240D5"/>
    <w:pPr>
      <w:spacing w:before="60" w:after="6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240D5"/>
    <w:pPr>
      <w:spacing w:before="60" w:after="6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240D5"/>
    <w:pPr>
      <w:spacing w:before="60" w:after="6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240D5"/>
    <w:pPr>
      <w:spacing w:before="60" w:after="6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240D5"/>
    <w:pPr>
      <w:spacing w:before="60" w:after="6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240D5"/>
    <w:pPr>
      <w:spacing w:before="60" w:after="6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240D5"/>
    <w:pPr>
      <w:spacing w:before="60" w:after="6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240D5"/>
    <w:pPr>
      <w:spacing w:before="60" w:after="6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240D5"/>
    <w:pPr>
      <w:spacing w:before="60" w:after="6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240D5"/>
    <w:pPr>
      <w:spacing w:before="60" w:after="6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240D5"/>
    <w:pPr>
      <w:spacing w:before="60" w:after="6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240D5"/>
    <w:pPr>
      <w:spacing w:before="60" w:after="6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240D5"/>
    <w:pPr>
      <w:spacing w:before="60" w:after="6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240D5"/>
    <w:pPr>
      <w:spacing w:before="60" w:after="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240D5"/>
    <w:pPr>
      <w:spacing w:before="60" w:after="6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240D5"/>
    <w:pPr>
      <w:spacing w:before="60" w:after="6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240D5"/>
    <w:pPr>
      <w:spacing w:before="60" w:after="6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240D5"/>
    <w:pPr>
      <w:spacing w:before="60" w:after="6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240D5"/>
    <w:pPr>
      <w:spacing w:before="60" w:after="6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240D5"/>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240D5"/>
    <w:pPr>
      <w:spacing w:before="60" w:after="6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240D5"/>
    <w:pPr>
      <w:spacing w:before="60" w:after="6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240D5"/>
    <w:pPr>
      <w:spacing w:before="60" w:after="6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ullet3">
    <w:name w:val="Bullet 3"/>
    <w:basedOn w:val="Bullet2"/>
    <w:rsid w:val="00DE7A72"/>
    <w:pPr>
      <w:numPr>
        <w:numId w:val="18"/>
      </w:numPr>
    </w:pPr>
  </w:style>
  <w:style w:type="paragraph" w:customStyle="1" w:styleId="Contents">
    <w:name w:val="Contents"/>
    <w:basedOn w:val="Normal"/>
    <w:rsid w:val="00277F1E"/>
    <w:pPr>
      <w:tabs>
        <w:tab w:val="left" w:pos="770"/>
        <w:tab w:val="left" w:pos="1430"/>
        <w:tab w:val="right" w:pos="9350"/>
      </w:tabs>
      <w:spacing w:before="0"/>
    </w:pPr>
    <w:rPr>
      <w:rFonts w:eastAsia="Calibri"/>
      <w:szCs w:val="22"/>
    </w:rPr>
  </w:style>
  <w:style w:type="paragraph" w:customStyle="1" w:styleId="TableTitle">
    <w:name w:val="Table Title"/>
    <w:basedOn w:val="BodyText"/>
    <w:next w:val="BodyText"/>
    <w:rsid w:val="008C1100"/>
    <w:pPr>
      <w:keepNext/>
      <w:numPr>
        <w:numId w:val="23"/>
      </w:numPr>
    </w:pPr>
    <w:rPr>
      <w:color w:val="002664"/>
    </w:rPr>
  </w:style>
  <w:style w:type="paragraph" w:customStyle="1" w:styleId="BodyCopy">
    <w:name w:val="Body Copy"/>
    <w:basedOn w:val="Normal"/>
    <w:semiHidden/>
    <w:rsid w:val="00277F1E"/>
    <w:pPr>
      <w:spacing w:before="0"/>
    </w:pPr>
    <w:rPr>
      <w:rFonts w:eastAsia="Calibri"/>
      <w:szCs w:val="22"/>
    </w:rPr>
  </w:style>
  <w:style w:type="character" w:customStyle="1" w:styleId="BodyTextChar">
    <w:name w:val="Body Text Char"/>
    <w:basedOn w:val="DefaultParagraphFont"/>
    <w:link w:val="BodyText"/>
    <w:rsid w:val="00277F1E"/>
    <w:rPr>
      <w:rFonts w:ascii="Arial" w:hAnsi="Arial"/>
      <w:sz w:val="22"/>
      <w:szCs w:val="24"/>
      <w:lang w:val="en-AU" w:eastAsia="en-US" w:bidi="ar-SA"/>
    </w:rPr>
  </w:style>
  <w:style w:type="character" w:customStyle="1" w:styleId="NSWBrightRed">
    <w:name w:val="NSW Bright Red"/>
    <w:basedOn w:val="NSWBlue"/>
    <w:rsid w:val="002A3975"/>
    <w:rPr>
      <w:color w:val="E31937"/>
    </w:rPr>
  </w:style>
  <w:style w:type="character" w:customStyle="1" w:styleId="NSWDarkRed">
    <w:name w:val="NSW Dark Red"/>
    <w:basedOn w:val="NSWBlue"/>
    <w:rsid w:val="002A3975"/>
    <w:rPr>
      <w:color w:val="B50938"/>
    </w:rPr>
  </w:style>
  <w:style w:type="paragraph" w:styleId="ListParagraph">
    <w:name w:val="List Paragraph"/>
    <w:aliases w:val="Bullet List Paragraph"/>
    <w:basedOn w:val="BodyText"/>
    <w:link w:val="ListParagraphChar"/>
    <w:autoRedefine/>
    <w:uiPriority w:val="34"/>
    <w:qFormat/>
    <w:rsid w:val="00FD7ACB"/>
    <w:pPr>
      <w:numPr>
        <w:numId w:val="48"/>
      </w:numPr>
    </w:pPr>
  </w:style>
  <w:style w:type="paragraph" w:styleId="TOCHeading">
    <w:name w:val="TOC Heading"/>
    <w:basedOn w:val="Heading1"/>
    <w:next w:val="Normal"/>
    <w:uiPriority w:val="39"/>
    <w:semiHidden/>
    <w:unhideWhenUsed/>
    <w:qFormat/>
    <w:rsid w:val="00C92623"/>
    <w:pPr>
      <w:keepLines/>
      <w:pageBreakBefore w:val="0"/>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 w:type="character" w:customStyle="1" w:styleId="Heading3Char">
    <w:name w:val="Heading 3 Char"/>
    <w:basedOn w:val="DefaultParagraphFont"/>
    <w:link w:val="Heading3"/>
    <w:rsid w:val="00295EA8"/>
    <w:rPr>
      <w:rFonts w:ascii="Arial" w:hAnsi="Arial" w:cs="Arial"/>
      <w:b/>
      <w:bCs/>
      <w:color w:val="002664"/>
      <w:sz w:val="22"/>
      <w:szCs w:val="22"/>
      <w:lang w:eastAsia="en-US"/>
    </w:rPr>
  </w:style>
  <w:style w:type="paragraph" w:customStyle="1" w:styleId="Default">
    <w:name w:val="Default"/>
    <w:rsid w:val="00DA095E"/>
    <w:pPr>
      <w:autoSpaceDE w:val="0"/>
      <w:autoSpaceDN w:val="0"/>
      <w:adjustRightInd w:val="0"/>
    </w:pPr>
    <w:rPr>
      <w:rFonts w:ascii="Arial" w:eastAsiaTheme="minorHAnsi" w:hAnsi="Arial" w:cs="Arial"/>
      <w:color w:val="000000"/>
      <w:sz w:val="24"/>
      <w:szCs w:val="24"/>
      <w:lang w:eastAsia="en-US"/>
    </w:rPr>
  </w:style>
  <w:style w:type="character" w:customStyle="1" w:styleId="A5">
    <w:name w:val="A5"/>
    <w:basedOn w:val="DefaultParagraphFont"/>
    <w:uiPriority w:val="99"/>
    <w:rsid w:val="004F5DF7"/>
    <w:rPr>
      <w:rFonts w:ascii="Myriad Pro" w:hAnsi="Myriad Pro" w:hint="default"/>
      <w:color w:val="221E1F"/>
    </w:rPr>
  </w:style>
  <w:style w:type="character" w:customStyle="1" w:styleId="TitleChar">
    <w:name w:val="Title Char"/>
    <w:basedOn w:val="DefaultParagraphFont"/>
    <w:link w:val="Title"/>
    <w:rsid w:val="003759E8"/>
    <w:rPr>
      <w:rFonts w:ascii="Arial" w:hAnsi="Arial" w:cs="Arial"/>
      <w:b/>
      <w:bCs/>
      <w:color w:val="002664"/>
      <w:kern w:val="28"/>
      <w:sz w:val="60"/>
      <w:szCs w:val="32"/>
      <w:lang w:eastAsia="en-US"/>
    </w:rPr>
  </w:style>
  <w:style w:type="character" w:customStyle="1" w:styleId="FootnoteTextChar">
    <w:name w:val="Footnote Text Char"/>
    <w:basedOn w:val="DefaultParagraphFont"/>
    <w:link w:val="FootnoteText"/>
    <w:uiPriority w:val="99"/>
    <w:semiHidden/>
    <w:rsid w:val="004F5DF7"/>
    <w:rPr>
      <w:snapToGrid w:val="0"/>
      <w:lang w:eastAsia="en-US"/>
    </w:rPr>
  </w:style>
  <w:style w:type="paragraph" w:styleId="EndnoteText">
    <w:name w:val="endnote text"/>
    <w:basedOn w:val="Normal"/>
    <w:link w:val="EndnoteTextChar"/>
    <w:semiHidden/>
    <w:rsid w:val="004F5DF7"/>
    <w:pPr>
      <w:overflowPunct w:val="0"/>
      <w:autoSpaceDE w:val="0"/>
      <w:autoSpaceDN w:val="0"/>
      <w:adjustRightInd w:val="0"/>
      <w:spacing w:before="0" w:after="0"/>
      <w:textAlignment w:val="baseline"/>
    </w:pPr>
    <w:rPr>
      <w:sz w:val="20"/>
      <w:szCs w:val="20"/>
    </w:rPr>
  </w:style>
  <w:style w:type="character" w:customStyle="1" w:styleId="EndnoteTextChar">
    <w:name w:val="Endnote Text Char"/>
    <w:basedOn w:val="DefaultParagraphFont"/>
    <w:link w:val="EndnoteText"/>
    <w:semiHidden/>
    <w:rsid w:val="004F5DF7"/>
    <w:rPr>
      <w:rFonts w:ascii="Arial" w:hAnsi="Arial"/>
      <w:lang w:eastAsia="en-US"/>
    </w:rPr>
  </w:style>
  <w:style w:type="character" w:styleId="EndnoteReference">
    <w:name w:val="endnote reference"/>
    <w:basedOn w:val="DefaultParagraphFont"/>
    <w:semiHidden/>
    <w:rsid w:val="004F5DF7"/>
    <w:rPr>
      <w:vertAlign w:val="superscript"/>
    </w:rPr>
  </w:style>
  <w:style w:type="paragraph" w:customStyle="1" w:styleId="headingparagraph">
    <w:name w:val="headingparagraph"/>
    <w:basedOn w:val="Normal"/>
    <w:rsid w:val="00130C98"/>
    <w:pPr>
      <w:spacing w:before="160" w:after="200"/>
      <w:ind w:left="340" w:hanging="340"/>
    </w:pPr>
    <w:rPr>
      <w:rFonts w:cs="Arial"/>
      <w:sz w:val="24"/>
      <w:lang w:eastAsia="en-AU"/>
    </w:rPr>
  </w:style>
  <w:style w:type="paragraph" w:customStyle="1" w:styleId="leftparagraph">
    <w:name w:val="leftparagraph"/>
    <w:basedOn w:val="Normal"/>
    <w:rsid w:val="00116071"/>
    <w:pPr>
      <w:spacing w:before="160" w:after="200"/>
    </w:pPr>
    <w:rPr>
      <w:rFonts w:ascii="Times New Roman" w:hAnsi="Times New Roman"/>
      <w:sz w:val="24"/>
      <w:lang w:eastAsia="en-AU"/>
    </w:rPr>
  </w:style>
  <w:style w:type="paragraph" w:customStyle="1" w:styleId="note">
    <w:name w:val="note"/>
    <w:basedOn w:val="Normal"/>
    <w:rsid w:val="00116071"/>
    <w:pPr>
      <w:spacing w:before="160" w:after="200"/>
    </w:pPr>
    <w:rPr>
      <w:rFonts w:cs="Arial"/>
      <w:sz w:val="20"/>
      <w:szCs w:val="20"/>
      <w:lang w:eastAsia="en-AU"/>
    </w:rPr>
  </w:style>
  <w:style w:type="character" w:styleId="FootnoteReference">
    <w:name w:val="footnote reference"/>
    <w:basedOn w:val="DefaultParagraphFont"/>
    <w:uiPriority w:val="99"/>
    <w:semiHidden/>
    <w:unhideWhenUsed/>
    <w:rsid w:val="000454D3"/>
    <w:rPr>
      <w:vertAlign w:val="superscript"/>
    </w:rPr>
  </w:style>
  <w:style w:type="character" w:customStyle="1" w:styleId="ListParagraphChar">
    <w:name w:val="List Paragraph Char"/>
    <w:aliases w:val="Bullet List Paragraph Char"/>
    <w:basedOn w:val="DefaultParagraphFont"/>
    <w:link w:val="ListParagraph"/>
    <w:uiPriority w:val="34"/>
    <w:locked/>
    <w:rsid w:val="00FD7ACB"/>
    <w:rPr>
      <w:rFonts w:ascii="Arial" w:hAnsi="Arial"/>
      <w:sz w:val="22"/>
      <w:szCs w:val="24"/>
      <w:lang w:eastAsia="en-US"/>
    </w:rPr>
  </w:style>
  <w:style w:type="paragraph" w:customStyle="1" w:styleId="Style1">
    <w:name w:val="Style1"/>
    <w:basedOn w:val="Footer"/>
    <w:rsid w:val="00D12F23"/>
    <w:rPr>
      <w:b/>
      <w:color w:val="152355"/>
      <w:sz w:val="18"/>
      <w:lang w:val="en-GB"/>
    </w:rPr>
  </w:style>
  <w:style w:type="character" w:styleId="IntenseEmphasis">
    <w:name w:val="Intense Emphasis"/>
    <w:basedOn w:val="BodyTextChar"/>
    <w:uiPriority w:val="21"/>
    <w:qFormat/>
    <w:rsid w:val="003759E8"/>
    <w:rPr>
      <w:rFonts w:ascii="Arial" w:hAnsi="Arial"/>
      <w:b/>
      <w:bCs/>
      <w:i/>
      <w:iCs/>
      <w:color w:val="002664"/>
      <w:sz w:val="22"/>
      <w:szCs w:val="24"/>
      <w:lang w:val="en-AU" w:eastAsia="en-US" w:bidi="ar-SA"/>
    </w:rPr>
  </w:style>
  <w:style w:type="paragraph" w:styleId="IntenseQuote">
    <w:name w:val="Intense Quote"/>
    <w:basedOn w:val="Normal"/>
    <w:next w:val="Normal"/>
    <w:link w:val="IntenseQuoteChar"/>
    <w:uiPriority w:val="30"/>
    <w:qFormat/>
    <w:rsid w:val="003759E8"/>
    <w:pPr>
      <w:pBdr>
        <w:bottom w:val="single" w:sz="4" w:space="4" w:color="4F81BD" w:themeColor="accent1"/>
      </w:pBdr>
      <w:spacing w:before="200" w:after="280"/>
      <w:ind w:left="936" w:right="936"/>
    </w:pPr>
    <w:rPr>
      <w:b/>
      <w:bCs/>
      <w:i/>
      <w:iCs/>
      <w:color w:val="002664"/>
    </w:rPr>
  </w:style>
  <w:style w:type="character" w:customStyle="1" w:styleId="IntenseQuoteChar">
    <w:name w:val="Intense Quote Char"/>
    <w:basedOn w:val="DefaultParagraphFont"/>
    <w:link w:val="IntenseQuote"/>
    <w:uiPriority w:val="30"/>
    <w:rsid w:val="003759E8"/>
    <w:rPr>
      <w:rFonts w:ascii="Arial" w:hAnsi="Arial"/>
      <w:b/>
      <w:bCs/>
      <w:i/>
      <w:iCs/>
      <w:color w:val="002664"/>
      <w:sz w:val="22"/>
      <w:szCs w:val="24"/>
      <w:lang w:eastAsia="en-US"/>
    </w:rPr>
  </w:style>
  <w:style w:type="character" w:styleId="SubtleReference">
    <w:name w:val="Subtle Reference"/>
    <w:basedOn w:val="BodyTextChar"/>
    <w:uiPriority w:val="31"/>
    <w:qFormat/>
    <w:rsid w:val="00D12F23"/>
    <w:rPr>
      <w:rFonts w:ascii="Arial" w:hAnsi="Arial"/>
      <w:smallCaps/>
      <w:color w:val="910A29"/>
      <w:sz w:val="22"/>
      <w:szCs w:val="24"/>
      <w:u w:val="single"/>
      <w:lang w:val="en-AU" w:eastAsia="en-US" w:bidi="ar-SA"/>
    </w:rPr>
  </w:style>
  <w:style w:type="character" w:styleId="IntenseReference">
    <w:name w:val="Intense Reference"/>
    <w:basedOn w:val="BodyTextChar"/>
    <w:uiPriority w:val="32"/>
    <w:qFormat/>
    <w:rsid w:val="00D12F23"/>
    <w:rPr>
      <w:rFonts w:ascii="Arial" w:hAnsi="Arial"/>
      <w:b/>
      <w:bCs/>
      <w:smallCaps/>
      <w:color w:val="910A29"/>
      <w:spacing w:val="5"/>
      <w:sz w:val="22"/>
      <w:szCs w:val="24"/>
      <w:u w:val="single"/>
      <w:lang w:val="en-AU" w:eastAsia="en-US" w:bidi="ar-SA"/>
    </w:rPr>
  </w:style>
  <w:style w:type="character" w:styleId="BookTitle">
    <w:name w:val="Book Title"/>
    <w:basedOn w:val="BodyTextChar"/>
    <w:uiPriority w:val="33"/>
    <w:qFormat/>
    <w:rsid w:val="00D12F23"/>
    <w:rPr>
      <w:rFonts w:ascii="Arial" w:hAnsi="Arial"/>
      <w:b/>
      <w:bCs/>
      <w:smallCaps/>
      <w:color w:val="auto"/>
      <w:spacing w:val="5"/>
      <w:sz w:val="22"/>
      <w:szCs w:val="24"/>
      <w:lang w:val="en-AU" w:eastAsia="en-US" w:bidi="ar-SA"/>
    </w:rPr>
  </w:style>
  <w:style w:type="character" w:styleId="SubtleEmphasis">
    <w:name w:val="Subtle Emphasis"/>
    <w:basedOn w:val="BodyTextChar"/>
    <w:uiPriority w:val="19"/>
    <w:qFormat/>
    <w:rsid w:val="00D12F23"/>
    <w:rPr>
      <w:rFonts w:ascii="Arial" w:hAnsi="Arial"/>
      <w:i/>
      <w:iCs/>
      <w:color w:val="808080" w:themeColor="text1" w:themeTint="7F"/>
      <w:sz w:val="22"/>
      <w:szCs w:val="24"/>
      <w:lang w:val="en-AU" w:eastAsia="en-US" w:bidi="ar-SA"/>
    </w:rPr>
  </w:style>
  <w:style w:type="character" w:customStyle="1" w:styleId="HeaderChar">
    <w:name w:val="Header Char"/>
    <w:basedOn w:val="DefaultParagraphFont"/>
    <w:link w:val="Header"/>
    <w:rsid w:val="00417FCA"/>
    <w:rPr>
      <w:rFonts w:ascii="Arial" w:hAnsi="Arial"/>
      <w:color w:val="808080"/>
      <w:sz w:val="16"/>
      <w:szCs w:val="24"/>
      <w:lang w:eastAsia="en-US"/>
    </w:rPr>
  </w:style>
  <w:style w:type="paragraph" w:styleId="NoSpacing">
    <w:name w:val="No Spacing"/>
    <w:link w:val="NoSpacingChar"/>
    <w:qFormat/>
    <w:rsid w:val="00F04B90"/>
    <w:rPr>
      <w:rFonts w:ascii="Arial" w:eastAsiaTheme="minorEastAsia" w:hAnsi="Arial" w:cstheme="minorBidi"/>
      <w:sz w:val="22"/>
      <w:szCs w:val="22"/>
      <w:lang w:val="en-US" w:eastAsia="en-US"/>
    </w:rPr>
  </w:style>
  <w:style w:type="character" w:customStyle="1" w:styleId="NoSpacingChar">
    <w:name w:val="No Spacing Char"/>
    <w:basedOn w:val="DefaultParagraphFont"/>
    <w:link w:val="NoSpacing"/>
    <w:rsid w:val="00F04B90"/>
    <w:rPr>
      <w:rFonts w:ascii="Arial" w:eastAsiaTheme="minorEastAsia" w:hAnsi="Arial" w:cstheme="minorBidi"/>
      <w:sz w:val="22"/>
      <w:szCs w:val="22"/>
      <w:lang w:val="en-US" w:eastAsia="en-US"/>
    </w:rPr>
  </w:style>
  <w:style w:type="paragraph" w:styleId="Quote">
    <w:name w:val="Quote"/>
    <w:aliases w:val="Breakout Quote"/>
    <w:basedOn w:val="Normal"/>
    <w:next w:val="Normal"/>
    <w:link w:val="QuoteChar"/>
    <w:uiPriority w:val="29"/>
    <w:qFormat/>
    <w:rsid w:val="001C3B7B"/>
    <w:pPr>
      <w:ind w:left="0"/>
    </w:pPr>
    <w:rPr>
      <w:b/>
      <w:iCs/>
      <w:color w:val="002664"/>
    </w:rPr>
  </w:style>
  <w:style w:type="character" w:customStyle="1" w:styleId="QuoteChar">
    <w:name w:val="Quote Char"/>
    <w:aliases w:val="Breakout Quote Char"/>
    <w:basedOn w:val="DefaultParagraphFont"/>
    <w:link w:val="Quote"/>
    <w:uiPriority w:val="29"/>
    <w:rsid w:val="001C3B7B"/>
    <w:rPr>
      <w:rFonts w:ascii="Arial" w:hAnsi="Arial"/>
      <w:b/>
      <w:iCs/>
      <w:color w:val="002664"/>
      <w:sz w:val="22"/>
      <w:szCs w:val="24"/>
      <w:lang w:eastAsia="en-US"/>
    </w:rPr>
  </w:style>
  <w:style w:type="paragraph" w:customStyle="1" w:styleId="TableCopy">
    <w:name w:val="Table Copy"/>
    <w:basedOn w:val="TableBodyText"/>
    <w:rsid w:val="00C45165"/>
  </w:style>
  <w:style w:type="paragraph" w:customStyle="1" w:styleId="TableCopyBulleted">
    <w:name w:val="Table Copy Bulleted"/>
    <w:basedOn w:val="TableBulleted"/>
    <w:autoRedefine/>
    <w:qFormat/>
    <w:rsid w:val="00C45165"/>
  </w:style>
  <w:style w:type="paragraph" w:customStyle="1" w:styleId="TableHeaderText">
    <w:name w:val="Table Header Text"/>
    <w:basedOn w:val="TableHeading"/>
    <w:qFormat/>
    <w:rsid w:val="001C3B7B"/>
  </w:style>
  <w:style w:type="character" w:customStyle="1" w:styleId="ng-scope">
    <w:name w:val="ng-scope"/>
    <w:basedOn w:val="DefaultParagraphFont"/>
    <w:rsid w:val="00AB4AD2"/>
  </w:style>
  <w:style w:type="paragraph" w:styleId="Revision">
    <w:name w:val="Revision"/>
    <w:hidden/>
    <w:uiPriority w:val="99"/>
    <w:semiHidden/>
    <w:rsid w:val="00717AD5"/>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16759">
      <w:bodyDiv w:val="1"/>
      <w:marLeft w:val="0"/>
      <w:marRight w:val="0"/>
      <w:marTop w:val="0"/>
      <w:marBottom w:val="0"/>
      <w:divBdr>
        <w:top w:val="none" w:sz="0" w:space="0" w:color="auto"/>
        <w:left w:val="none" w:sz="0" w:space="0" w:color="auto"/>
        <w:bottom w:val="none" w:sz="0" w:space="0" w:color="auto"/>
        <w:right w:val="single" w:sz="6" w:space="6" w:color="FFFFFF"/>
      </w:divBdr>
      <w:divsChild>
        <w:div w:id="1197698516">
          <w:marLeft w:val="0"/>
          <w:marRight w:val="0"/>
          <w:marTop w:val="0"/>
          <w:marBottom w:val="0"/>
          <w:divBdr>
            <w:top w:val="none" w:sz="0" w:space="0" w:color="auto"/>
            <w:left w:val="none" w:sz="0" w:space="0" w:color="auto"/>
            <w:bottom w:val="none" w:sz="0" w:space="0" w:color="auto"/>
            <w:right w:val="none" w:sz="0" w:space="0" w:color="auto"/>
          </w:divBdr>
          <w:divsChild>
            <w:div w:id="409693730">
              <w:marLeft w:val="0"/>
              <w:marRight w:val="0"/>
              <w:marTop w:val="0"/>
              <w:marBottom w:val="0"/>
              <w:divBdr>
                <w:top w:val="none" w:sz="0" w:space="0" w:color="auto"/>
                <w:left w:val="none" w:sz="0" w:space="0" w:color="auto"/>
                <w:bottom w:val="none" w:sz="0" w:space="0" w:color="auto"/>
                <w:right w:val="none" w:sz="0" w:space="0" w:color="auto"/>
              </w:divBdr>
              <w:divsChild>
                <w:div w:id="179374830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4192890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44881435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99078835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05947328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7217245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65276121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66194020">
                      <w:blockQuote w:val="1"/>
                      <w:marLeft w:val="340"/>
                      <w:marRight w:val="0"/>
                      <w:marTop w:val="160"/>
                      <w:marBottom w:val="200"/>
                      <w:divBdr>
                        <w:top w:val="none" w:sz="0" w:space="0" w:color="auto"/>
                        <w:left w:val="none" w:sz="0" w:space="0" w:color="auto"/>
                        <w:bottom w:val="none" w:sz="0" w:space="0" w:color="auto"/>
                        <w:right w:val="none" w:sz="0" w:space="0" w:color="auto"/>
                      </w:divBdr>
                    </w:div>
                    <w:div w:id="1352105935">
                      <w:blockQuote w:val="1"/>
                      <w:marLeft w:val="340"/>
                      <w:marRight w:val="0"/>
                      <w:marTop w:val="160"/>
                      <w:marBottom w:val="200"/>
                      <w:divBdr>
                        <w:top w:val="none" w:sz="0" w:space="0" w:color="auto"/>
                        <w:left w:val="none" w:sz="0" w:space="0" w:color="auto"/>
                        <w:bottom w:val="none" w:sz="0" w:space="0" w:color="auto"/>
                        <w:right w:val="none" w:sz="0" w:space="0" w:color="auto"/>
                      </w:divBdr>
                    </w:div>
                    <w:div w:id="1358308743">
                      <w:blockQuote w:val="1"/>
                      <w:marLeft w:val="340"/>
                      <w:marRight w:val="0"/>
                      <w:marTop w:val="160"/>
                      <w:marBottom w:val="200"/>
                      <w:divBdr>
                        <w:top w:val="none" w:sz="0" w:space="0" w:color="auto"/>
                        <w:left w:val="none" w:sz="0" w:space="0" w:color="auto"/>
                        <w:bottom w:val="none" w:sz="0" w:space="0" w:color="auto"/>
                        <w:right w:val="none" w:sz="0" w:space="0" w:color="auto"/>
                      </w:divBdr>
                    </w:div>
                    <w:div w:id="1150705891">
                      <w:blockQuote w:val="1"/>
                      <w:marLeft w:val="340"/>
                      <w:marRight w:val="0"/>
                      <w:marTop w:val="160"/>
                      <w:marBottom w:val="200"/>
                      <w:divBdr>
                        <w:top w:val="none" w:sz="0" w:space="0" w:color="auto"/>
                        <w:left w:val="none" w:sz="0" w:space="0" w:color="auto"/>
                        <w:bottom w:val="none" w:sz="0" w:space="0" w:color="auto"/>
                        <w:right w:val="none" w:sz="0" w:space="0" w:color="auto"/>
                      </w:divBdr>
                    </w:div>
                    <w:div w:id="16987484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89897955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12896461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99363341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44845758">
                      <w:blockQuote w:val="1"/>
                      <w:marLeft w:val="340"/>
                      <w:marRight w:val="0"/>
                      <w:marTop w:val="160"/>
                      <w:marBottom w:val="200"/>
                      <w:divBdr>
                        <w:top w:val="none" w:sz="0" w:space="0" w:color="auto"/>
                        <w:left w:val="none" w:sz="0" w:space="0" w:color="auto"/>
                        <w:bottom w:val="none" w:sz="0" w:space="0" w:color="auto"/>
                        <w:right w:val="none" w:sz="0" w:space="0" w:color="auto"/>
                      </w:divBdr>
                    </w:div>
                    <w:div w:id="676495217">
                      <w:blockQuote w:val="1"/>
                      <w:marLeft w:val="340"/>
                      <w:marRight w:val="0"/>
                      <w:marTop w:val="160"/>
                      <w:marBottom w:val="200"/>
                      <w:divBdr>
                        <w:top w:val="none" w:sz="0" w:space="0" w:color="auto"/>
                        <w:left w:val="none" w:sz="0" w:space="0" w:color="auto"/>
                        <w:bottom w:val="none" w:sz="0" w:space="0" w:color="auto"/>
                        <w:right w:val="none" w:sz="0" w:space="0" w:color="auto"/>
                      </w:divBdr>
                    </w:div>
                    <w:div w:id="119160127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206879885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655647199">
                      <w:blockQuote w:val="1"/>
                      <w:marLeft w:val="340"/>
                      <w:marRight w:val="0"/>
                      <w:marTop w:val="160"/>
                      <w:marBottom w:val="200"/>
                      <w:divBdr>
                        <w:top w:val="none" w:sz="0" w:space="0" w:color="auto"/>
                        <w:left w:val="none" w:sz="0" w:space="0" w:color="auto"/>
                        <w:bottom w:val="none" w:sz="0" w:space="0" w:color="auto"/>
                        <w:right w:val="none" w:sz="0" w:space="0" w:color="auto"/>
                      </w:divBdr>
                    </w:div>
                    <w:div w:id="74816193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46279180">
                          <w:blockQuote w:val="1"/>
                          <w:marLeft w:val="340"/>
                          <w:marRight w:val="0"/>
                          <w:marTop w:val="160"/>
                          <w:marBottom w:val="200"/>
                          <w:divBdr>
                            <w:top w:val="none" w:sz="0" w:space="0" w:color="auto"/>
                            <w:left w:val="none" w:sz="0" w:space="0" w:color="auto"/>
                            <w:bottom w:val="none" w:sz="0" w:space="0" w:color="auto"/>
                            <w:right w:val="none" w:sz="0" w:space="0" w:color="auto"/>
                          </w:divBdr>
                        </w:div>
                        <w:div w:id="102170675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1848206203">
                  <w:blockQuote w:val="1"/>
                  <w:marLeft w:val="340"/>
                  <w:marRight w:val="0"/>
                  <w:marTop w:val="160"/>
                  <w:marBottom w:val="200"/>
                  <w:divBdr>
                    <w:top w:val="none" w:sz="0" w:space="0" w:color="auto"/>
                    <w:left w:val="none" w:sz="0" w:space="0" w:color="auto"/>
                    <w:bottom w:val="none" w:sz="0" w:space="0" w:color="auto"/>
                    <w:right w:val="none" w:sz="0" w:space="0" w:color="auto"/>
                  </w:divBdr>
                </w:div>
                <w:div w:id="166365576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81194021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13794406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554506568">
                      <w:blockQuote w:val="1"/>
                      <w:marLeft w:val="340"/>
                      <w:marRight w:val="0"/>
                      <w:marTop w:val="160"/>
                      <w:marBottom w:val="200"/>
                      <w:divBdr>
                        <w:top w:val="none" w:sz="0" w:space="0" w:color="auto"/>
                        <w:left w:val="none" w:sz="0" w:space="0" w:color="auto"/>
                        <w:bottom w:val="none" w:sz="0" w:space="0" w:color="auto"/>
                        <w:right w:val="none" w:sz="0" w:space="0" w:color="auto"/>
                      </w:divBdr>
                    </w:div>
                    <w:div w:id="1988783223">
                      <w:blockQuote w:val="1"/>
                      <w:marLeft w:val="340"/>
                      <w:marRight w:val="0"/>
                      <w:marTop w:val="160"/>
                      <w:marBottom w:val="200"/>
                      <w:divBdr>
                        <w:top w:val="none" w:sz="0" w:space="0" w:color="auto"/>
                        <w:left w:val="none" w:sz="0" w:space="0" w:color="auto"/>
                        <w:bottom w:val="none" w:sz="0" w:space="0" w:color="auto"/>
                        <w:right w:val="none" w:sz="0" w:space="0" w:color="auto"/>
                      </w:divBdr>
                    </w:div>
                    <w:div w:id="1196849649">
                      <w:blockQuote w:val="1"/>
                      <w:marLeft w:val="340"/>
                      <w:marRight w:val="0"/>
                      <w:marTop w:val="160"/>
                      <w:marBottom w:val="200"/>
                      <w:divBdr>
                        <w:top w:val="none" w:sz="0" w:space="0" w:color="auto"/>
                        <w:left w:val="none" w:sz="0" w:space="0" w:color="auto"/>
                        <w:bottom w:val="none" w:sz="0" w:space="0" w:color="auto"/>
                        <w:right w:val="none" w:sz="0" w:space="0" w:color="auto"/>
                      </w:divBdr>
                    </w:div>
                    <w:div w:id="881407736">
                      <w:blockQuote w:val="1"/>
                      <w:marLeft w:val="340"/>
                      <w:marRight w:val="0"/>
                      <w:marTop w:val="160"/>
                      <w:marBottom w:val="200"/>
                      <w:divBdr>
                        <w:top w:val="none" w:sz="0" w:space="0" w:color="auto"/>
                        <w:left w:val="none" w:sz="0" w:space="0" w:color="auto"/>
                        <w:bottom w:val="none" w:sz="0" w:space="0" w:color="auto"/>
                        <w:right w:val="none" w:sz="0" w:space="0" w:color="auto"/>
                      </w:divBdr>
                    </w:div>
                    <w:div w:id="16186363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467434154">
                  <w:blockQuote w:val="1"/>
                  <w:marLeft w:val="340"/>
                  <w:marRight w:val="0"/>
                  <w:marTop w:val="160"/>
                  <w:marBottom w:val="200"/>
                  <w:divBdr>
                    <w:top w:val="none" w:sz="0" w:space="0" w:color="auto"/>
                    <w:left w:val="none" w:sz="0" w:space="0" w:color="auto"/>
                    <w:bottom w:val="none" w:sz="0" w:space="0" w:color="auto"/>
                    <w:right w:val="none" w:sz="0" w:space="0" w:color="auto"/>
                  </w:divBdr>
                </w:div>
                <w:div w:id="125143142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108883683">
                      <w:blockQuote w:val="1"/>
                      <w:marLeft w:val="340"/>
                      <w:marRight w:val="0"/>
                      <w:marTop w:val="160"/>
                      <w:marBottom w:val="200"/>
                      <w:divBdr>
                        <w:top w:val="none" w:sz="0" w:space="0" w:color="auto"/>
                        <w:left w:val="none" w:sz="0" w:space="0" w:color="auto"/>
                        <w:bottom w:val="none" w:sz="0" w:space="0" w:color="auto"/>
                        <w:right w:val="none" w:sz="0" w:space="0" w:color="auto"/>
                      </w:divBdr>
                    </w:div>
                    <w:div w:id="139770836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42275106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364166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87523060">
                          <w:blockQuote w:val="1"/>
                          <w:marLeft w:val="340"/>
                          <w:marRight w:val="0"/>
                          <w:marTop w:val="160"/>
                          <w:marBottom w:val="200"/>
                          <w:divBdr>
                            <w:top w:val="none" w:sz="0" w:space="0" w:color="auto"/>
                            <w:left w:val="none" w:sz="0" w:space="0" w:color="auto"/>
                            <w:bottom w:val="none" w:sz="0" w:space="0" w:color="auto"/>
                            <w:right w:val="none" w:sz="0" w:space="0" w:color="auto"/>
                          </w:divBdr>
                        </w:div>
                        <w:div w:id="126572853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09236088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48813233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980841488">
                      <w:blockQuote w:val="1"/>
                      <w:marLeft w:val="340"/>
                      <w:marRight w:val="0"/>
                      <w:marTop w:val="160"/>
                      <w:marBottom w:val="200"/>
                      <w:divBdr>
                        <w:top w:val="none" w:sz="0" w:space="0" w:color="auto"/>
                        <w:left w:val="none" w:sz="0" w:space="0" w:color="auto"/>
                        <w:bottom w:val="none" w:sz="0" w:space="0" w:color="auto"/>
                        <w:right w:val="none" w:sz="0" w:space="0" w:color="auto"/>
                      </w:divBdr>
                    </w:div>
                    <w:div w:id="191948499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439976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707750753">
                      <w:blockQuote w:val="1"/>
                      <w:marLeft w:val="340"/>
                      <w:marRight w:val="0"/>
                      <w:marTop w:val="160"/>
                      <w:marBottom w:val="200"/>
                      <w:divBdr>
                        <w:top w:val="none" w:sz="0" w:space="0" w:color="auto"/>
                        <w:left w:val="none" w:sz="0" w:space="0" w:color="auto"/>
                        <w:bottom w:val="none" w:sz="0" w:space="0" w:color="auto"/>
                        <w:right w:val="none" w:sz="0" w:space="0" w:color="auto"/>
                      </w:divBdr>
                    </w:div>
                    <w:div w:id="1364208777">
                      <w:blockQuote w:val="1"/>
                      <w:marLeft w:val="340"/>
                      <w:marRight w:val="0"/>
                      <w:marTop w:val="160"/>
                      <w:marBottom w:val="200"/>
                      <w:divBdr>
                        <w:top w:val="none" w:sz="0" w:space="0" w:color="auto"/>
                        <w:left w:val="none" w:sz="0" w:space="0" w:color="auto"/>
                        <w:bottom w:val="none" w:sz="0" w:space="0" w:color="auto"/>
                        <w:right w:val="none" w:sz="0" w:space="0" w:color="auto"/>
                      </w:divBdr>
                    </w:div>
                    <w:div w:id="75255297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0712114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226382530">
      <w:bodyDiv w:val="1"/>
      <w:marLeft w:val="0"/>
      <w:marRight w:val="0"/>
      <w:marTop w:val="0"/>
      <w:marBottom w:val="0"/>
      <w:divBdr>
        <w:top w:val="none" w:sz="0" w:space="0" w:color="auto"/>
        <w:left w:val="none" w:sz="0" w:space="0" w:color="auto"/>
        <w:bottom w:val="none" w:sz="0" w:space="0" w:color="auto"/>
        <w:right w:val="none" w:sz="0" w:space="0" w:color="auto"/>
      </w:divBdr>
    </w:div>
    <w:div w:id="283384989">
      <w:bodyDiv w:val="1"/>
      <w:marLeft w:val="0"/>
      <w:marRight w:val="0"/>
      <w:marTop w:val="0"/>
      <w:marBottom w:val="0"/>
      <w:divBdr>
        <w:top w:val="none" w:sz="0" w:space="0" w:color="auto"/>
        <w:left w:val="none" w:sz="0" w:space="0" w:color="auto"/>
        <w:bottom w:val="none" w:sz="0" w:space="0" w:color="auto"/>
        <w:right w:val="none" w:sz="0" w:space="0" w:color="auto"/>
      </w:divBdr>
    </w:div>
    <w:div w:id="355742413">
      <w:bodyDiv w:val="1"/>
      <w:marLeft w:val="0"/>
      <w:marRight w:val="0"/>
      <w:marTop w:val="0"/>
      <w:marBottom w:val="0"/>
      <w:divBdr>
        <w:top w:val="none" w:sz="0" w:space="0" w:color="auto"/>
        <w:left w:val="none" w:sz="0" w:space="0" w:color="auto"/>
        <w:bottom w:val="none" w:sz="0" w:space="0" w:color="auto"/>
        <w:right w:val="single" w:sz="6" w:space="6" w:color="FFFFFF"/>
      </w:divBdr>
      <w:divsChild>
        <w:div w:id="378673077">
          <w:marLeft w:val="0"/>
          <w:marRight w:val="0"/>
          <w:marTop w:val="0"/>
          <w:marBottom w:val="0"/>
          <w:divBdr>
            <w:top w:val="none" w:sz="0" w:space="0" w:color="auto"/>
            <w:left w:val="none" w:sz="0" w:space="0" w:color="auto"/>
            <w:bottom w:val="none" w:sz="0" w:space="0" w:color="auto"/>
            <w:right w:val="none" w:sz="0" w:space="0" w:color="auto"/>
          </w:divBdr>
          <w:divsChild>
            <w:div w:id="1308171653">
              <w:marLeft w:val="0"/>
              <w:marRight w:val="0"/>
              <w:marTop w:val="0"/>
              <w:marBottom w:val="0"/>
              <w:divBdr>
                <w:top w:val="none" w:sz="0" w:space="0" w:color="auto"/>
                <w:left w:val="none" w:sz="0" w:space="0" w:color="auto"/>
                <w:bottom w:val="none" w:sz="0" w:space="0" w:color="auto"/>
                <w:right w:val="none" w:sz="0" w:space="0" w:color="auto"/>
              </w:divBdr>
              <w:divsChild>
                <w:div w:id="198535272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3711855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0405175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89689196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70648720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3294250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0054076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50118279">
                      <w:blockQuote w:val="1"/>
                      <w:marLeft w:val="340"/>
                      <w:marRight w:val="0"/>
                      <w:marTop w:val="160"/>
                      <w:marBottom w:val="200"/>
                      <w:divBdr>
                        <w:top w:val="none" w:sz="0" w:space="0" w:color="auto"/>
                        <w:left w:val="none" w:sz="0" w:space="0" w:color="auto"/>
                        <w:bottom w:val="none" w:sz="0" w:space="0" w:color="auto"/>
                        <w:right w:val="none" w:sz="0" w:space="0" w:color="auto"/>
                      </w:divBdr>
                    </w:div>
                    <w:div w:id="207454279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2000968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7917358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794590302">
                          <w:blockQuote w:val="1"/>
                          <w:marLeft w:val="340"/>
                          <w:marRight w:val="0"/>
                          <w:marTop w:val="160"/>
                          <w:marBottom w:val="200"/>
                          <w:divBdr>
                            <w:top w:val="none" w:sz="0" w:space="0" w:color="auto"/>
                            <w:left w:val="none" w:sz="0" w:space="0" w:color="auto"/>
                            <w:bottom w:val="none" w:sz="0" w:space="0" w:color="auto"/>
                            <w:right w:val="none" w:sz="0" w:space="0" w:color="auto"/>
                          </w:divBdr>
                        </w:div>
                        <w:div w:id="393162821">
                          <w:blockQuote w:val="1"/>
                          <w:marLeft w:val="340"/>
                          <w:marRight w:val="0"/>
                          <w:marTop w:val="160"/>
                          <w:marBottom w:val="200"/>
                          <w:divBdr>
                            <w:top w:val="none" w:sz="0" w:space="0" w:color="auto"/>
                            <w:left w:val="none" w:sz="0" w:space="0" w:color="auto"/>
                            <w:bottom w:val="none" w:sz="0" w:space="0" w:color="auto"/>
                            <w:right w:val="none" w:sz="0" w:space="0" w:color="auto"/>
                          </w:divBdr>
                        </w:div>
                        <w:div w:id="1849786291">
                          <w:blockQuote w:val="1"/>
                          <w:marLeft w:val="340"/>
                          <w:marRight w:val="0"/>
                          <w:marTop w:val="160"/>
                          <w:marBottom w:val="200"/>
                          <w:divBdr>
                            <w:top w:val="none" w:sz="0" w:space="0" w:color="auto"/>
                            <w:left w:val="none" w:sz="0" w:space="0" w:color="auto"/>
                            <w:bottom w:val="none" w:sz="0" w:space="0" w:color="auto"/>
                            <w:right w:val="none" w:sz="0" w:space="0" w:color="auto"/>
                          </w:divBdr>
                        </w:div>
                        <w:div w:id="923077145">
                          <w:blockQuote w:val="1"/>
                          <w:marLeft w:val="340"/>
                          <w:marRight w:val="0"/>
                          <w:marTop w:val="160"/>
                          <w:marBottom w:val="200"/>
                          <w:divBdr>
                            <w:top w:val="none" w:sz="0" w:space="0" w:color="auto"/>
                            <w:left w:val="none" w:sz="0" w:space="0" w:color="auto"/>
                            <w:bottom w:val="none" w:sz="0" w:space="0" w:color="auto"/>
                            <w:right w:val="none" w:sz="0" w:space="0" w:color="auto"/>
                          </w:divBdr>
                        </w:div>
                        <w:div w:id="187068061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20810521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09565116">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2132285364">
                      <w:blockQuote w:val="1"/>
                      <w:marLeft w:val="340"/>
                      <w:marRight w:val="0"/>
                      <w:marTop w:val="160"/>
                      <w:marBottom w:val="200"/>
                      <w:divBdr>
                        <w:top w:val="none" w:sz="0" w:space="0" w:color="auto"/>
                        <w:left w:val="none" w:sz="0" w:space="0" w:color="auto"/>
                        <w:bottom w:val="none" w:sz="0" w:space="0" w:color="auto"/>
                        <w:right w:val="none" w:sz="0" w:space="0" w:color="auto"/>
                      </w:divBdr>
                    </w:div>
                    <w:div w:id="135233539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86299055">
                          <w:blockQuote w:val="1"/>
                          <w:marLeft w:val="340"/>
                          <w:marRight w:val="0"/>
                          <w:marTop w:val="160"/>
                          <w:marBottom w:val="200"/>
                          <w:divBdr>
                            <w:top w:val="none" w:sz="0" w:space="0" w:color="auto"/>
                            <w:left w:val="none" w:sz="0" w:space="0" w:color="auto"/>
                            <w:bottom w:val="none" w:sz="0" w:space="0" w:color="auto"/>
                            <w:right w:val="none" w:sz="0" w:space="0" w:color="auto"/>
                          </w:divBdr>
                        </w:div>
                        <w:div w:id="2038238560">
                          <w:blockQuote w:val="1"/>
                          <w:marLeft w:val="340"/>
                          <w:marRight w:val="0"/>
                          <w:marTop w:val="160"/>
                          <w:marBottom w:val="200"/>
                          <w:divBdr>
                            <w:top w:val="none" w:sz="0" w:space="0" w:color="auto"/>
                            <w:left w:val="none" w:sz="0" w:space="0" w:color="auto"/>
                            <w:bottom w:val="none" w:sz="0" w:space="0" w:color="auto"/>
                            <w:right w:val="none" w:sz="0" w:space="0" w:color="auto"/>
                          </w:divBdr>
                        </w:div>
                        <w:div w:id="408356023">
                          <w:blockQuote w:val="1"/>
                          <w:marLeft w:val="340"/>
                          <w:marRight w:val="0"/>
                          <w:marTop w:val="160"/>
                          <w:marBottom w:val="200"/>
                          <w:divBdr>
                            <w:top w:val="none" w:sz="0" w:space="0" w:color="auto"/>
                            <w:left w:val="none" w:sz="0" w:space="0" w:color="auto"/>
                            <w:bottom w:val="none" w:sz="0" w:space="0" w:color="auto"/>
                            <w:right w:val="none" w:sz="0" w:space="0" w:color="auto"/>
                          </w:divBdr>
                        </w:div>
                        <w:div w:id="1656685873">
                          <w:blockQuote w:val="1"/>
                          <w:marLeft w:val="340"/>
                          <w:marRight w:val="0"/>
                          <w:marTop w:val="160"/>
                          <w:marBottom w:val="200"/>
                          <w:divBdr>
                            <w:top w:val="none" w:sz="0" w:space="0" w:color="auto"/>
                            <w:left w:val="none" w:sz="0" w:space="0" w:color="auto"/>
                            <w:bottom w:val="none" w:sz="0" w:space="0" w:color="auto"/>
                            <w:right w:val="none" w:sz="0" w:space="0" w:color="auto"/>
                          </w:divBdr>
                        </w:div>
                        <w:div w:id="88717990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203204832">
                      <w:blockQuote w:val="1"/>
                      <w:marLeft w:val="340"/>
                      <w:marRight w:val="0"/>
                      <w:marTop w:val="160"/>
                      <w:marBottom w:val="200"/>
                      <w:divBdr>
                        <w:top w:val="none" w:sz="0" w:space="0" w:color="auto"/>
                        <w:left w:val="none" w:sz="0" w:space="0" w:color="auto"/>
                        <w:bottom w:val="none" w:sz="0" w:space="0" w:color="auto"/>
                        <w:right w:val="none" w:sz="0" w:space="0" w:color="auto"/>
                      </w:divBdr>
                    </w:div>
                    <w:div w:id="741414921">
                      <w:blockQuote w:val="1"/>
                      <w:marLeft w:val="340"/>
                      <w:marRight w:val="0"/>
                      <w:marTop w:val="160"/>
                      <w:marBottom w:val="200"/>
                      <w:divBdr>
                        <w:top w:val="none" w:sz="0" w:space="0" w:color="auto"/>
                        <w:left w:val="none" w:sz="0" w:space="0" w:color="auto"/>
                        <w:bottom w:val="none" w:sz="0" w:space="0" w:color="auto"/>
                        <w:right w:val="none" w:sz="0" w:space="0" w:color="auto"/>
                      </w:divBdr>
                    </w:div>
                    <w:div w:id="27016946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38648476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5056911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32550159">
                          <w:blockQuote w:val="1"/>
                          <w:marLeft w:val="340"/>
                          <w:marRight w:val="0"/>
                          <w:marTop w:val="160"/>
                          <w:marBottom w:val="200"/>
                          <w:divBdr>
                            <w:top w:val="none" w:sz="0" w:space="0" w:color="auto"/>
                            <w:left w:val="none" w:sz="0" w:space="0" w:color="auto"/>
                            <w:bottom w:val="none" w:sz="0" w:space="0" w:color="auto"/>
                            <w:right w:val="none" w:sz="0" w:space="0" w:color="auto"/>
                          </w:divBdr>
                        </w:div>
                        <w:div w:id="895050274">
                          <w:blockQuote w:val="1"/>
                          <w:marLeft w:val="340"/>
                          <w:marRight w:val="0"/>
                          <w:marTop w:val="160"/>
                          <w:marBottom w:val="200"/>
                          <w:divBdr>
                            <w:top w:val="none" w:sz="0" w:space="0" w:color="auto"/>
                            <w:left w:val="none" w:sz="0" w:space="0" w:color="auto"/>
                            <w:bottom w:val="none" w:sz="0" w:space="0" w:color="auto"/>
                            <w:right w:val="none" w:sz="0" w:space="0" w:color="auto"/>
                          </w:divBdr>
                        </w:div>
                        <w:div w:id="1260135713">
                          <w:blockQuote w:val="1"/>
                          <w:marLeft w:val="340"/>
                          <w:marRight w:val="0"/>
                          <w:marTop w:val="160"/>
                          <w:marBottom w:val="200"/>
                          <w:divBdr>
                            <w:top w:val="none" w:sz="0" w:space="0" w:color="auto"/>
                            <w:left w:val="none" w:sz="0" w:space="0" w:color="auto"/>
                            <w:bottom w:val="none" w:sz="0" w:space="0" w:color="auto"/>
                            <w:right w:val="none" w:sz="0" w:space="0" w:color="auto"/>
                          </w:divBdr>
                        </w:div>
                        <w:div w:id="197074207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65367997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6556808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27829842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36025193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7499038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496533617">
                          <w:blockQuote w:val="1"/>
                          <w:marLeft w:val="340"/>
                          <w:marRight w:val="0"/>
                          <w:marTop w:val="160"/>
                          <w:marBottom w:val="200"/>
                          <w:divBdr>
                            <w:top w:val="none" w:sz="0" w:space="0" w:color="auto"/>
                            <w:left w:val="none" w:sz="0" w:space="0" w:color="auto"/>
                            <w:bottom w:val="none" w:sz="0" w:space="0" w:color="auto"/>
                            <w:right w:val="none" w:sz="0" w:space="0" w:color="auto"/>
                          </w:divBdr>
                        </w:div>
                        <w:div w:id="128557289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57912113">
                              <w:blockQuote w:val="1"/>
                              <w:marLeft w:val="340"/>
                              <w:marRight w:val="0"/>
                              <w:marTop w:val="160"/>
                              <w:marBottom w:val="200"/>
                              <w:divBdr>
                                <w:top w:val="none" w:sz="0" w:space="0" w:color="auto"/>
                                <w:left w:val="none" w:sz="0" w:space="0" w:color="auto"/>
                                <w:bottom w:val="none" w:sz="0" w:space="0" w:color="auto"/>
                                <w:right w:val="none" w:sz="0" w:space="0" w:color="auto"/>
                              </w:divBdr>
                            </w:div>
                            <w:div w:id="35280993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114231431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9207236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128477052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03384556">
                      <w:blockQuote w:val="1"/>
                      <w:marLeft w:val="340"/>
                      <w:marRight w:val="0"/>
                      <w:marTop w:val="160"/>
                      <w:marBottom w:val="200"/>
                      <w:divBdr>
                        <w:top w:val="none" w:sz="0" w:space="0" w:color="auto"/>
                        <w:left w:val="none" w:sz="0" w:space="0" w:color="auto"/>
                        <w:bottom w:val="none" w:sz="0" w:space="0" w:color="auto"/>
                        <w:right w:val="none" w:sz="0" w:space="0" w:color="auto"/>
                      </w:divBdr>
                    </w:div>
                    <w:div w:id="85480870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3530002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178646067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6647798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853740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206521181">
                      <w:blockQuote w:val="1"/>
                      <w:marLeft w:val="340"/>
                      <w:marRight w:val="0"/>
                      <w:marTop w:val="160"/>
                      <w:marBottom w:val="200"/>
                      <w:divBdr>
                        <w:top w:val="none" w:sz="0" w:space="0" w:color="auto"/>
                        <w:left w:val="none" w:sz="0" w:space="0" w:color="auto"/>
                        <w:bottom w:val="none" w:sz="0" w:space="0" w:color="auto"/>
                        <w:right w:val="none" w:sz="0" w:space="0" w:color="auto"/>
                      </w:divBdr>
                    </w:div>
                    <w:div w:id="806898152">
                      <w:blockQuote w:val="1"/>
                      <w:marLeft w:val="340"/>
                      <w:marRight w:val="0"/>
                      <w:marTop w:val="160"/>
                      <w:marBottom w:val="200"/>
                      <w:divBdr>
                        <w:top w:val="none" w:sz="0" w:space="0" w:color="auto"/>
                        <w:left w:val="none" w:sz="0" w:space="0" w:color="auto"/>
                        <w:bottom w:val="none" w:sz="0" w:space="0" w:color="auto"/>
                        <w:right w:val="none" w:sz="0" w:space="0" w:color="auto"/>
                      </w:divBdr>
                    </w:div>
                    <w:div w:id="95159235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8681237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1565993998">
                  <w:blockQuote w:val="1"/>
                  <w:marLeft w:val="340"/>
                  <w:marRight w:val="0"/>
                  <w:marTop w:val="160"/>
                  <w:marBottom w:val="200"/>
                  <w:divBdr>
                    <w:top w:val="none" w:sz="0" w:space="0" w:color="auto"/>
                    <w:left w:val="none" w:sz="0" w:space="0" w:color="auto"/>
                    <w:bottom w:val="none" w:sz="0" w:space="0" w:color="auto"/>
                    <w:right w:val="none" w:sz="0" w:space="0" w:color="auto"/>
                  </w:divBdr>
                </w:div>
                <w:div w:id="171372605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7386901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978532278">
                          <w:blockQuote w:val="1"/>
                          <w:marLeft w:val="340"/>
                          <w:marRight w:val="0"/>
                          <w:marTop w:val="160"/>
                          <w:marBottom w:val="200"/>
                          <w:divBdr>
                            <w:top w:val="none" w:sz="0" w:space="0" w:color="auto"/>
                            <w:left w:val="none" w:sz="0" w:space="0" w:color="auto"/>
                            <w:bottom w:val="none" w:sz="0" w:space="0" w:color="auto"/>
                            <w:right w:val="none" w:sz="0" w:space="0" w:color="auto"/>
                          </w:divBdr>
                        </w:div>
                        <w:div w:id="112115006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85148356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50505025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031178557">
                              <w:blockQuote w:val="1"/>
                              <w:marLeft w:val="340"/>
                              <w:marRight w:val="0"/>
                              <w:marTop w:val="160"/>
                              <w:marBottom w:val="200"/>
                              <w:divBdr>
                                <w:top w:val="none" w:sz="0" w:space="0" w:color="auto"/>
                                <w:left w:val="none" w:sz="0" w:space="0" w:color="auto"/>
                                <w:bottom w:val="none" w:sz="0" w:space="0" w:color="auto"/>
                                <w:right w:val="none" w:sz="0" w:space="0" w:color="auto"/>
                              </w:divBdr>
                            </w:div>
                            <w:div w:id="122818008">
                              <w:blockQuote w:val="1"/>
                              <w:marLeft w:val="340"/>
                              <w:marRight w:val="0"/>
                              <w:marTop w:val="160"/>
                              <w:marBottom w:val="200"/>
                              <w:divBdr>
                                <w:top w:val="none" w:sz="0" w:space="0" w:color="auto"/>
                                <w:left w:val="none" w:sz="0" w:space="0" w:color="auto"/>
                                <w:bottom w:val="none" w:sz="0" w:space="0" w:color="auto"/>
                                <w:right w:val="none" w:sz="0" w:space="0" w:color="auto"/>
                              </w:divBdr>
                            </w:div>
                            <w:div w:id="60931796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10974160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061006474">
                              <w:blockQuote w:val="1"/>
                              <w:marLeft w:val="340"/>
                              <w:marRight w:val="0"/>
                              <w:marTop w:val="160"/>
                              <w:marBottom w:val="200"/>
                              <w:divBdr>
                                <w:top w:val="none" w:sz="0" w:space="0" w:color="auto"/>
                                <w:left w:val="none" w:sz="0" w:space="0" w:color="auto"/>
                                <w:bottom w:val="none" w:sz="0" w:space="0" w:color="auto"/>
                                <w:right w:val="none" w:sz="0" w:space="0" w:color="auto"/>
                              </w:divBdr>
                            </w:div>
                            <w:div w:id="410011384">
                              <w:blockQuote w:val="1"/>
                              <w:marLeft w:val="340"/>
                              <w:marRight w:val="0"/>
                              <w:marTop w:val="160"/>
                              <w:marBottom w:val="200"/>
                              <w:divBdr>
                                <w:top w:val="none" w:sz="0" w:space="0" w:color="auto"/>
                                <w:left w:val="none" w:sz="0" w:space="0" w:color="auto"/>
                                <w:bottom w:val="none" w:sz="0" w:space="0" w:color="auto"/>
                                <w:right w:val="none" w:sz="0" w:space="0" w:color="auto"/>
                              </w:divBdr>
                            </w:div>
                            <w:div w:id="119272089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53408181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83122025">
                              <w:blockQuote w:val="1"/>
                              <w:marLeft w:val="340"/>
                              <w:marRight w:val="0"/>
                              <w:marTop w:val="160"/>
                              <w:marBottom w:val="200"/>
                              <w:divBdr>
                                <w:top w:val="none" w:sz="0" w:space="0" w:color="auto"/>
                                <w:left w:val="none" w:sz="0" w:space="0" w:color="auto"/>
                                <w:bottom w:val="none" w:sz="0" w:space="0" w:color="auto"/>
                                <w:right w:val="none" w:sz="0" w:space="0" w:color="auto"/>
                              </w:divBdr>
                            </w:div>
                            <w:div w:id="2033651844">
                              <w:blockQuote w:val="1"/>
                              <w:marLeft w:val="340"/>
                              <w:marRight w:val="0"/>
                              <w:marTop w:val="160"/>
                              <w:marBottom w:val="200"/>
                              <w:divBdr>
                                <w:top w:val="none" w:sz="0" w:space="0" w:color="auto"/>
                                <w:left w:val="none" w:sz="0" w:space="0" w:color="auto"/>
                                <w:bottom w:val="none" w:sz="0" w:space="0" w:color="auto"/>
                                <w:right w:val="none" w:sz="0" w:space="0" w:color="auto"/>
                              </w:divBdr>
                            </w:div>
                            <w:div w:id="79850090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345090590">
                          <w:blockQuote w:val="1"/>
                          <w:marLeft w:val="340"/>
                          <w:marRight w:val="0"/>
                          <w:marTop w:val="160"/>
                          <w:marBottom w:val="200"/>
                          <w:divBdr>
                            <w:top w:val="none" w:sz="0" w:space="0" w:color="auto"/>
                            <w:left w:val="none" w:sz="0" w:space="0" w:color="auto"/>
                            <w:bottom w:val="none" w:sz="0" w:space="0" w:color="auto"/>
                            <w:right w:val="none" w:sz="0" w:space="0" w:color="auto"/>
                          </w:divBdr>
                        </w:div>
                        <w:div w:id="11772634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255020517">
                              <w:blockQuote w:val="1"/>
                              <w:marLeft w:val="340"/>
                              <w:marRight w:val="0"/>
                              <w:marTop w:val="160"/>
                              <w:marBottom w:val="200"/>
                              <w:divBdr>
                                <w:top w:val="none" w:sz="0" w:space="0" w:color="auto"/>
                                <w:left w:val="none" w:sz="0" w:space="0" w:color="auto"/>
                                <w:bottom w:val="none" w:sz="0" w:space="0" w:color="auto"/>
                                <w:right w:val="none" w:sz="0" w:space="0" w:color="auto"/>
                              </w:divBdr>
                            </w:div>
                            <w:div w:id="1111972173">
                              <w:blockQuote w:val="1"/>
                              <w:marLeft w:val="340"/>
                              <w:marRight w:val="0"/>
                              <w:marTop w:val="160"/>
                              <w:marBottom w:val="200"/>
                              <w:divBdr>
                                <w:top w:val="none" w:sz="0" w:space="0" w:color="auto"/>
                                <w:left w:val="none" w:sz="0" w:space="0" w:color="auto"/>
                                <w:bottom w:val="none" w:sz="0" w:space="0" w:color="auto"/>
                                <w:right w:val="none" w:sz="0" w:space="0" w:color="auto"/>
                              </w:divBdr>
                            </w:div>
                            <w:div w:id="61263952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979801180">
                          <w:blockQuote w:val="1"/>
                          <w:marLeft w:val="340"/>
                          <w:marRight w:val="0"/>
                          <w:marTop w:val="160"/>
                          <w:marBottom w:val="200"/>
                          <w:divBdr>
                            <w:top w:val="none" w:sz="0" w:space="0" w:color="auto"/>
                            <w:left w:val="none" w:sz="0" w:space="0" w:color="auto"/>
                            <w:bottom w:val="none" w:sz="0" w:space="0" w:color="auto"/>
                            <w:right w:val="none" w:sz="0" w:space="0" w:color="auto"/>
                          </w:divBdr>
                        </w:div>
                        <w:div w:id="58988109">
                          <w:blockQuote w:val="1"/>
                          <w:marLeft w:val="340"/>
                          <w:marRight w:val="0"/>
                          <w:marTop w:val="160"/>
                          <w:marBottom w:val="200"/>
                          <w:divBdr>
                            <w:top w:val="none" w:sz="0" w:space="0" w:color="auto"/>
                            <w:left w:val="none" w:sz="0" w:space="0" w:color="auto"/>
                            <w:bottom w:val="none" w:sz="0" w:space="0" w:color="auto"/>
                            <w:right w:val="none" w:sz="0" w:space="0" w:color="auto"/>
                          </w:divBdr>
                        </w:div>
                        <w:div w:id="16123779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07250331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174233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308485440">
                      <w:blockQuote w:val="1"/>
                      <w:marLeft w:val="340"/>
                      <w:marRight w:val="0"/>
                      <w:marTop w:val="160"/>
                      <w:marBottom w:val="200"/>
                      <w:divBdr>
                        <w:top w:val="none" w:sz="0" w:space="0" w:color="auto"/>
                        <w:left w:val="none" w:sz="0" w:space="0" w:color="auto"/>
                        <w:bottom w:val="none" w:sz="0" w:space="0" w:color="auto"/>
                        <w:right w:val="none" w:sz="0" w:space="0" w:color="auto"/>
                      </w:divBdr>
                    </w:div>
                    <w:div w:id="65164083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8912816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44580917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3533787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0162598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414742916">
                          <w:blockQuote w:val="1"/>
                          <w:marLeft w:val="340"/>
                          <w:marRight w:val="0"/>
                          <w:marTop w:val="160"/>
                          <w:marBottom w:val="200"/>
                          <w:divBdr>
                            <w:top w:val="none" w:sz="0" w:space="0" w:color="auto"/>
                            <w:left w:val="none" w:sz="0" w:space="0" w:color="auto"/>
                            <w:bottom w:val="none" w:sz="0" w:space="0" w:color="auto"/>
                            <w:right w:val="none" w:sz="0" w:space="0" w:color="auto"/>
                          </w:divBdr>
                        </w:div>
                        <w:div w:id="93875325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87388505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70748531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32500348">
                              <w:blockQuote w:val="1"/>
                              <w:marLeft w:val="340"/>
                              <w:marRight w:val="0"/>
                              <w:marTop w:val="160"/>
                              <w:marBottom w:val="200"/>
                              <w:divBdr>
                                <w:top w:val="none" w:sz="0" w:space="0" w:color="auto"/>
                                <w:left w:val="none" w:sz="0" w:space="0" w:color="auto"/>
                                <w:bottom w:val="none" w:sz="0" w:space="0" w:color="auto"/>
                                <w:right w:val="none" w:sz="0" w:space="0" w:color="auto"/>
                              </w:divBdr>
                            </w:div>
                            <w:div w:id="109905706">
                              <w:blockQuote w:val="1"/>
                              <w:marLeft w:val="340"/>
                              <w:marRight w:val="0"/>
                              <w:marTop w:val="160"/>
                              <w:marBottom w:val="200"/>
                              <w:divBdr>
                                <w:top w:val="none" w:sz="0" w:space="0" w:color="auto"/>
                                <w:left w:val="none" w:sz="0" w:space="0" w:color="auto"/>
                                <w:bottom w:val="none" w:sz="0" w:space="0" w:color="auto"/>
                                <w:right w:val="none" w:sz="0" w:space="0" w:color="auto"/>
                              </w:divBdr>
                            </w:div>
                            <w:div w:id="162916700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71219784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832329431">
                              <w:blockQuote w:val="1"/>
                              <w:marLeft w:val="340"/>
                              <w:marRight w:val="0"/>
                              <w:marTop w:val="160"/>
                              <w:marBottom w:val="200"/>
                              <w:divBdr>
                                <w:top w:val="none" w:sz="0" w:space="0" w:color="auto"/>
                                <w:left w:val="none" w:sz="0" w:space="0" w:color="auto"/>
                                <w:bottom w:val="none" w:sz="0" w:space="0" w:color="auto"/>
                                <w:right w:val="none" w:sz="0" w:space="0" w:color="auto"/>
                              </w:divBdr>
                            </w:div>
                            <w:div w:id="1015037890">
                              <w:blockQuote w:val="1"/>
                              <w:marLeft w:val="340"/>
                              <w:marRight w:val="0"/>
                              <w:marTop w:val="160"/>
                              <w:marBottom w:val="200"/>
                              <w:divBdr>
                                <w:top w:val="none" w:sz="0" w:space="0" w:color="auto"/>
                                <w:left w:val="none" w:sz="0" w:space="0" w:color="auto"/>
                                <w:bottom w:val="none" w:sz="0" w:space="0" w:color="auto"/>
                                <w:right w:val="none" w:sz="0" w:space="0" w:color="auto"/>
                              </w:divBdr>
                            </w:div>
                            <w:div w:id="57412745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2937755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65785619">
                              <w:blockQuote w:val="1"/>
                              <w:marLeft w:val="340"/>
                              <w:marRight w:val="0"/>
                              <w:marTop w:val="160"/>
                              <w:marBottom w:val="200"/>
                              <w:divBdr>
                                <w:top w:val="none" w:sz="0" w:space="0" w:color="auto"/>
                                <w:left w:val="none" w:sz="0" w:space="0" w:color="auto"/>
                                <w:bottom w:val="none" w:sz="0" w:space="0" w:color="auto"/>
                                <w:right w:val="none" w:sz="0" w:space="0" w:color="auto"/>
                              </w:divBdr>
                            </w:div>
                            <w:div w:id="1853716068">
                              <w:blockQuote w:val="1"/>
                              <w:marLeft w:val="340"/>
                              <w:marRight w:val="0"/>
                              <w:marTop w:val="160"/>
                              <w:marBottom w:val="200"/>
                              <w:divBdr>
                                <w:top w:val="none" w:sz="0" w:space="0" w:color="auto"/>
                                <w:left w:val="none" w:sz="0" w:space="0" w:color="auto"/>
                                <w:bottom w:val="none" w:sz="0" w:space="0" w:color="auto"/>
                                <w:right w:val="none" w:sz="0" w:space="0" w:color="auto"/>
                              </w:divBdr>
                            </w:div>
                            <w:div w:id="28777834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74811572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6075188">
                              <w:blockQuote w:val="1"/>
                              <w:marLeft w:val="340"/>
                              <w:marRight w:val="0"/>
                              <w:marTop w:val="160"/>
                              <w:marBottom w:val="200"/>
                              <w:divBdr>
                                <w:top w:val="none" w:sz="0" w:space="0" w:color="auto"/>
                                <w:left w:val="none" w:sz="0" w:space="0" w:color="auto"/>
                                <w:bottom w:val="none" w:sz="0" w:space="0" w:color="auto"/>
                                <w:right w:val="none" w:sz="0" w:space="0" w:color="auto"/>
                              </w:divBdr>
                            </w:div>
                            <w:div w:id="729622405">
                              <w:blockQuote w:val="1"/>
                              <w:marLeft w:val="340"/>
                              <w:marRight w:val="0"/>
                              <w:marTop w:val="160"/>
                              <w:marBottom w:val="200"/>
                              <w:divBdr>
                                <w:top w:val="none" w:sz="0" w:space="0" w:color="auto"/>
                                <w:left w:val="none" w:sz="0" w:space="0" w:color="auto"/>
                                <w:bottom w:val="none" w:sz="0" w:space="0" w:color="auto"/>
                                <w:right w:val="none" w:sz="0" w:space="0" w:color="auto"/>
                              </w:divBdr>
                            </w:div>
                            <w:div w:id="92229538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56905512">
                          <w:blockQuote w:val="1"/>
                          <w:marLeft w:val="340"/>
                          <w:marRight w:val="0"/>
                          <w:marTop w:val="160"/>
                          <w:marBottom w:val="200"/>
                          <w:divBdr>
                            <w:top w:val="none" w:sz="0" w:space="0" w:color="auto"/>
                            <w:left w:val="none" w:sz="0" w:space="0" w:color="auto"/>
                            <w:bottom w:val="none" w:sz="0" w:space="0" w:color="auto"/>
                            <w:right w:val="none" w:sz="0" w:space="0" w:color="auto"/>
                          </w:divBdr>
                        </w:div>
                        <w:div w:id="67118070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798723230">
                              <w:blockQuote w:val="1"/>
                              <w:marLeft w:val="340"/>
                              <w:marRight w:val="0"/>
                              <w:marTop w:val="160"/>
                              <w:marBottom w:val="200"/>
                              <w:divBdr>
                                <w:top w:val="none" w:sz="0" w:space="0" w:color="auto"/>
                                <w:left w:val="none" w:sz="0" w:space="0" w:color="auto"/>
                                <w:bottom w:val="none" w:sz="0" w:space="0" w:color="auto"/>
                                <w:right w:val="none" w:sz="0" w:space="0" w:color="auto"/>
                              </w:divBdr>
                            </w:div>
                            <w:div w:id="453865633">
                              <w:blockQuote w:val="1"/>
                              <w:marLeft w:val="340"/>
                              <w:marRight w:val="0"/>
                              <w:marTop w:val="160"/>
                              <w:marBottom w:val="200"/>
                              <w:divBdr>
                                <w:top w:val="none" w:sz="0" w:space="0" w:color="auto"/>
                                <w:left w:val="none" w:sz="0" w:space="0" w:color="auto"/>
                                <w:bottom w:val="none" w:sz="0" w:space="0" w:color="auto"/>
                                <w:right w:val="none" w:sz="0" w:space="0" w:color="auto"/>
                              </w:divBdr>
                            </w:div>
                            <w:div w:id="401030676">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423141971">
                          <w:blockQuote w:val="1"/>
                          <w:marLeft w:val="340"/>
                          <w:marRight w:val="0"/>
                          <w:marTop w:val="160"/>
                          <w:marBottom w:val="200"/>
                          <w:divBdr>
                            <w:top w:val="none" w:sz="0" w:space="0" w:color="auto"/>
                            <w:left w:val="none" w:sz="0" w:space="0" w:color="auto"/>
                            <w:bottom w:val="none" w:sz="0" w:space="0" w:color="auto"/>
                            <w:right w:val="none" w:sz="0" w:space="0" w:color="auto"/>
                          </w:divBdr>
                        </w:div>
                        <w:div w:id="1668433821">
                          <w:blockQuote w:val="1"/>
                          <w:marLeft w:val="340"/>
                          <w:marRight w:val="0"/>
                          <w:marTop w:val="160"/>
                          <w:marBottom w:val="200"/>
                          <w:divBdr>
                            <w:top w:val="none" w:sz="0" w:space="0" w:color="auto"/>
                            <w:left w:val="none" w:sz="0" w:space="0" w:color="auto"/>
                            <w:bottom w:val="none" w:sz="0" w:space="0" w:color="auto"/>
                            <w:right w:val="none" w:sz="0" w:space="0" w:color="auto"/>
                          </w:divBdr>
                        </w:div>
                        <w:div w:id="189145690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68544421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632899417">
                          <w:blockQuote w:val="1"/>
                          <w:marLeft w:val="340"/>
                          <w:marRight w:val="0"/>
                          <w:marTop w:val="160"/>
                          <w:marBottom w:val="200"/>
                          <w:divBdr>
                            <w:top w:val="none" w:sz="0" w:space="0" w:color="auto"/>
                            <w:left w:val="none" w:sz="0" w:space="0" w:color="auto"/>
                            <w:bottom w:val="none" w:sz="0" w:space="0" w:color="auto"/>
                            <w:right w:val="none" w:sz="0" w:space="0" w:color="auto"/>
                          </w:divBdr>
                        </w:div>
                        <w:div w:id="57922109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929394281">
                      <w:blockQuote w:val="1"/>
                      <w:marLeft w:val="340"/>
                      <w:marRight w:val="0"/>
                      <w:marTop w:val="160"/>
                      <w:marBottom w:val="200"/>
                      <w:divBdr>
                        <w:top w:val="none" w:sz="0" w:space="0" w:color="auto"/>
                        <w:left w:val="none" w:sz="0" w:space="0" w:color="auto"/>
                        <w:bottom w:val="none" w:sz="0" w:space="0" w:color="auto"/>
                        <w:right w:val="none" w:sz="0" w:space="0" w:color="auto"/>
                      </w:divBdr>
                    </w:div>
                    <w:div w:id="158715097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09625336">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688412271">
                      <w:blockQuote w:val="1"/>
                      <w:marLeft w:val="340"/>
                      <w:marRight w:val="0"/>
                      <w:marTop w:val="160"/>
                      <w:marBottom w:val="200"/>
                      <w:divBdr>
                        <w:top w:val="none" w:sz="0" w:space="0" w:color="auto"/>
                        <w:left w:val="none" w:sz="0" w:space="0" w:color="auto"/>
                        <w:bottom w:val="none" w:sz="0" w:space="0" w:color="auto"/>
                        <w:right w:val="none" w:sz="0" w:space="0" w:color="auto"/>
                      </w:divBdr>
                    </w:div>
                    <w:div w:id="22310480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36205050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049114338">
                      <w:blockQuote w:val="1"/>
                      <w:marLeft w:val="340"/>
                      <w:marRight w:val="0"/>
                      <w:marTop w:val="160"/>
                      <w:marBottom w:val="200"/>
                      <w:divBdr>
                        <w:top w:val="none" w:sz="0" w:space="0" w:color="auto"/>
                        <w:left w:val="none" w:sz="0" w:space="0" w:color="auto"/>
                        <w:bottom w:val="none" w:sz="0" w:space="0" w:color="auto"/>
                        <w:right w:val="none" w:sz="0" w:space="0" w:color="auto"/>
                      </w:divBdr>
                    </w:div>
                    <w:div w:id="214246115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0813492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41007599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87800531">
                          <w:blockQuote w:val="1"/>
                          <w:marLeft w:val="340"/>
                          <w:marRight w:val="0"/>
                          <w:marTop w:val="160"/>
                          <w:marBottom w:val="200"/>
                          <w:divBdr>
                            <w:top w:val="none" w:sz="0" w:space="0" w:color="auto"/>
                            <w:left w:val="none" w:sz="0" w:space="0" w:color="auto"/>
                            <w:bottom w:val="none" w:sz="0" w:space="0" w:color="auto"/>
                            <w:right w:val="none" w:sz="0" w:space="0" w:color="auto"/>
                          </w:divBdr>
                        </w:div>
                        <w:div w:id="211806416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61548410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2855371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634718657">
                  <w:blockQuote w:val="1"/>
                  <w:marLeft w:val="340"/>
                  <w:marRight w:val="0"/>
                  <w:marTop w:val="160"/>
                  <w:marBottom w:val="200"/>
                  <w:divBdr>
                    <w:top w:val="none" w:sz="0" w:space="0" w:color="auto"/>
                    <w:left w:val="none" w:sz="0" w:space="0" w:color="auto"/>
                    <w:bottom w:val="none" w:sz="0" w:space="0" w:color="auto"/>
                    <w:right w:val="none" w:sz="0" w:space="0" w:color="auto"/>
                  </w:divBdr>
                </w:div>
                <w:div w:id="127887764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12305281">
                      <w:blockQuote w:val="1"/>
                      <w:marLeft w:val="340"/>
                      <w:marRight w:val="0"/>
                      <w:marTop w:val="160"/>
                      <w:marBottom w:val="200"/>
                      <w:divBdr>
                        <w:top w:val="none" w:sz="0" w:space="0" w:color="auto"/>
                        <w:left w:val="none" w:sz="0" w:space="0" w:color="auto"/>
                        <w:bottom w:val="none" w:sz="0" w:space="0" w:color="auto"/>
                        <w:right w:val="none" w:sz="0" w:space="0" w:color="auto"/>
                      </w:divBdr>
                    </w:div>
                    <w:div w:id="1864316967">
                      <w:blockQuote w:val="1"/>
                      <w:marLeft w:val="340"/>
                      <w:marRight w:val="0"/>
                      <w:marTop w:val="160"/>
                      <w:marBottom w:val="200"/>
                      <w:divBdr>
                        <w:top w:val="none" w:sz="0" w:space="0" w:color="auto"/>
                        <w:left w:val="none" w:sz="0" w:space="0" w:color="auto"/>
                        <w:bottom w:val="none" w:sz="0" w:space="0" w:color="auto"/>
                        <w:right w:val="none" w:sz="0" w:space="0" w:color="auto"/>
                      </w:divBdr>
                    </w:div>
                    <w:div w:id="1452287630">
                      <w:blockQuote w:val="1"/>
                      <w:marLeft w:val="340"/>
                      <w:marRight w:val="0"/>
                      <w:marTop w:val="160"/>
                      <w:marBottom w:val="200"/>
                      <w:divBdr>
                        <w:top w:val="none" w:sz="0" w:space="0" w:color="auto"/>
                        <w:left w:val="none" w:sz="0" w:space="0" w:color="auto"/>
                        <w:bottom w:val="none" w:sz="0" w:space="0" w:color="auto"/>
                        <w:right w:val="none" w:sz="0" w:space="0" w:color="auto"/>
                      </w:divBdr>
                    </w:div>
                    <w:div w:id="203865683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29860762">
                          <w:blockQuote w:val="1"/>
                          <w:marLeft w:val="340"/>
                          <w:marRight w:val="0"/>
                          <w:marTop w:val="160"/>
                          <w:marBottom w:val="200"/>
                          <w:divBdr>
                            <w:top w:val="none" w:sz="0" w:space="0" w:color="auto"/>
                            <w:left w:val="none" w:sz="0" w:space="0" w:color="auto"/>
                            <w:bottom w:val="none" w:sz="0" w:space="0" w:color="auto"/>
                            <w:right w:val="none" w:sz="0" w:space="0" w:color="auto"/>
                          </w:divBdr>
                        </w:div>
                        <w:div w:id="205488354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39331519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64511276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313532705">
                      <w:blockQuote w:val="1"/>
                      <w:marLeft w:val="340"/>
                      <w:marRight w:val="0"/>
                      <w:marTop w:val="160"/>
                      <w:marBottom w:val="200"/>
                      <w:divBdr>
                        <w:top w:val="none" w:sz="0" w:space="0" w:color="auto"/>
                        <w:left w:val="none" w:sz="0" w:space="0" w:color="auto"/>
                        <w:bottom w:val="none" w:sz="0" w:space="0" w:color="auto"/>
                        <w:right w:val="none" w:sz="0" w:space="0" w:color="auto"/>
                      </w:divBdr>
                    </w:div>
                    <w:div w:id="194356481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33916125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7029996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97690513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0682470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41889783">
                          <w:blockQuote w:val="1"/>
                          <w:marLeft w:val="340"/>
                          <w:marRight w:val="0"/>
                          <w:marTop w:val="160"/>
                          <w:marBottom w:val="200"/>
                          <w:divBdr>
                            <w:top w:val="none" w:sz="0" w:space="0" w:color="auto"/>
                            <w:left w:val="none" w:sz="0" w:space="0" w:color="auto"/>
                            <w:bottom w:val="none" w:sz="0" w:space="0" w:color="auto"/>
                            <w:right w:val="none" w:sz="0" w:space="0" w:color="auto"/>
                          </w:divBdr>
                        </w:div>
                        <w:div w:id="111374863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64173571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486820943">
      <w:bodyDiv w:val="1"/>
      <w:marLeft w:val="0"/>
      <w:marRight w:val="0"/>
      <w:marTop w:val="0"/>
      <w:marBottom w:val="0"/>
      <w:divBdr>
        <w:top w:val="none" w:sz="0" w:space="0" w:color="auto"/>
        <w:left w:val="none" w:sz="0" w:space="0" w:color="auto"/>
        <w:bottom w:val="none" w:sz="0" w:space="0" w:color="auto"/>
        <w:right w:val="none" w:sz="0" w:space="0" w:color="auto"/>
      </w:divBdr>
    </w:div>
    <w:div w:id="594555332">
      <w:bodyDiv w:val="1"/>
      <w:marLeft w:val="0"/>
      <w:marRight w:val="0"/>
      <w:marTop w:val="0"/>
      <w:marBottom w:val="0"/>
      <w:divBdr>
        <w:top w:val="none" w:sz="0" w:space="0" w:color="auto"/>
        <w:left w:val="none" w:sz="0" w:space="0" w:color="auto"/>
        <w:bottom w:val="none" w:sz="0" w:space="0" w:color="auto"/>
        <w:right w:val="none" w:sz="0" w:space="0" w:color="auto"/>
      </w:divBdr>
    </w:div>
    <w:div w:id="899245365">
      <w:bodyDiv w:val="1"/>
      <w:marLeft w:val="0"/>
      <w:marRight w:val="0"/>
      <w:marTop w:val="0"/>
      <w:marBottom w:val="0"/>
      <w:divBdr>
        <w:top w:val="none" w:sz="0" w:space="0" w:color="auto"/>
        <w:left w:val="none" w:sz="0" w:space="0" w:color="auto"/>
        <w:bottom w:val="none" w:sz="0" w:space="0" w:color="auto"/>
        <w:right w:val="none" w:sz="0" w:space="0" w:color="auto"/>
      </w:divBdr>
    </w:div>
    <w:div w:id="981738908">
      <w:bodyDiv w:val="1"/>
      <w:marLeft w:val="0"/>
      <w:marRight w:val="0"/>
      <w:marTop w:val="0"/>
      <w:marBottom w:val="0"/>
      <w:divBdr>
        <w:top w:val="none" w:sz="0" w:space="0" w:color="auto"/>
        <w:left w:val="none" w:sz="0" w:space="0" w:color="auto"/>
        <w:bottom w:val="none" w:sz="0" w:space="0" w:color="auto"/>
        <w:right w:val="none" w:sz="0" w:space="0" w:color="auto"/>
      </w:divBdr>
    </w:div>
    <w:div w:id="1182403790">
      <w:bodyDiv w:val="1"/>
      <w:marLeft w:val="0"/>
      <w:marRight w:val="0"/>
      <w:marTop w:val="0"/>
      <w:marBottom w:val="0"/>
      <w:divBdr>
        <w:top w:val="none" w:sz="0" w:space="0" w:color="auto"/>
        <w:left w:val="none" w:sz="0" w:space="0" w:color="auto"/>
        <w:bottom w:val="none" w:sz="0" w:space="0" w:color="auto"/>
        <w:right w:val="none" w:sz="0" w:space="0" w:color="auto"/>
      </w:divBdr>
    </w:div>
    <w:div w:id="1443306933">
      <w:bodyDiv w:val="1"/>
      <w:marLeft w:val="0"/>
      <w:marRight w:val="0"/>
      <w:marTop w:val="0"/>
      <w:marBottom w:val="0"/>
      <w:divBdr>
        <w:top w:val="none" w:sz="0" w:space="0" w:color="auto"/>
        <w:left w:val="none" w:sz="0" w:space="0" w:color="auto"/>
        <w:bottom w:val="none" w:sz="0" w:space="0" w:color="auto"/>
        <w:right w:val="none" w:sz="0" w:space="0" w:color="auto"/>
      </w:divBdr>
    </w:div>
    <w:div w:id="1492451418">
      <w:bodyDiv w:val="1"/>
      <w:marLeft w:val="0"/>
      <w:marRight w:val="0"/>
      <w:marTop w:val="0"/>
      <w:marBottom w:val="0"/>
      <w:divBdr>
        <w:top w:val="none" w:sz="0" w:space="0" w:color="auto"/>
        <w:left w:val="none" w:sz="0" w:space="0" w:color="auto"/>
        <w:bottom w:val="none" w:sz="0" w:space="0" w:color="auto"/>
        <w:right w:val="none" w:sz="0" w:space="0" w:color="auto"/>
      </w:divBdr>
    </w:div>
    <w:div w:id="160553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tatements.qld.gov.au/Statement/2019/5/27/new-fund-to-support-wheelchair-accessibility" TargetMode="External"/><Relationship Id="rId1" Type="http://schemas.openxmlformats.org/officeDocument/2006/relationships/hyperlink" Target="https://www.ndis.gov.au/participants/creating-your-plan/plan-budget-and-rules/transport-fund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RaoR\tfnswobjective.transport.nsw.gov.au-8111\raor\Objects\Consolidated%20TTSS%20Data%202014-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3"/>
          <c:order val="2"/>
          <c:tx>
            <c:v>WATDIS and Cap increase</c:v>
          </c:tx>
          <c:invertIfNegative val="0"/>
          <c:val>
            <c:numRef>
              <c:f>Sheet1!$D$2:$D$59</c:f>
              <c:numCache>
                <c:formatCode>General</c:formatCode>
                <c:ptCount val="58"/>
                <c:pt idx="30">
                  <c:v>140000</c:v>
                </c:pt>
              </c:numCache>
            </c:numRef>
          </c:val>
        </c:ser>
        <c:dLbls>
          <c:showLegendKey val="0"/>
          <c:showVal val="0"/>
          <c:showCatName val="0"/>
          <c:showSerName val="0"/>
          <c:showPercent val="0"/>
          <c:showBubbleSize val="0"/>
        </c:dLbls>
        <c:gapWidth val="489"/>
        <c:axId val="212480208"/>
        <c:axId val="212480600"/>
      </c:barChart>
      <c:lineChart>
        <c:grouping val="standard"/>
        <c:varyColors val="0"/>
        <c:ser>
          <c:idx val="0"/>
          <c:order val="0"/>
          <c:tx>
            <c:v>M50 Trips</c:v>
          </c:tx>
          <c:marker>
            <c:symbol val="none"/>
          </c:marker>
          <c:cat>
            <c:strRef>
              <c:f>Sheet1!$B$2:$B$59</c:f>
              <c:strCache>
                <c:ptCount val="58"/>
                <c:pt idx="0">
                  <c:v>01/2014</c:v>
                </c:pt>
                <c:pt idx="1">
                  <c:v>02/2014</c:v>
                </c:pt>
                <c:pt idx="2">
                  <c:v>03/2014</c:v>
                </c:pt>
                <c:pt idx="3">
                  <c:v>04/2014</c:v>
                </c:pt>
                <c:pt idx="4">
                  <c:v>05/2014</c:v>
                </c:pt>
                <c:pt idx="5">
                  <c:v>06/2014</c:v>
                </c:pt>
                <c:pt idx="6">
                  <c:v>07/2014</c:v>
                </c:pt>
                <c:pt idx="7">
                  <c:v>08/2014</c:v>
                </c:pt>
                <c:pt idx="8">
                  <c:v>09/2014</c:v>
                </c:pt>
                <c:pt idx="9">
                  <c:v>10/2014</c:v>
                </c:pt>
                <c:pt idx="10">
                  <c:v>11/2014</c:v>
                </c:pt>
                <c:pt idx="11">
                  <c:v>12/2014</c:v>
                </c:pt>
                <c:pt idx="12">
                  <c:v>01/2015</c:v>
                </c:pt>
                <c:pt idx="13">
                  <c:v>02/2015</c:v>
                </c:pt>
                <c:pt idx="14">
                  <c:v>03/2015</c:v>
                </c:pt>
                <c:pt idx="15">
                  <c:v>04/2015</c:v>
                </c:pt>
                <c:pt idx="16">
                  <c:v>05/2015</c:v>
                </c:pt>
                <c:pt idx="17">
                  <c:v>06/2015</c:v>
                </c:pt>
                <c:pt idx="18">
                  <c:v>07/2015</c:v>
                </c:pt>
                <c:pt idx="19">
                  <c:v>08/2015</c:v>
                </c:pt>
                <c:pt idx="20">
                  <c:v>09/2015</c:v>
                </c:pt>
                <c:pt idx="21">
                  <c:v>10/2015</c:v>
                </c:pt>
                <c:pt idx="22">
                  <c:v>11/2015</c:v>
                </c:pt>
                <c:pt idx="23">
                  <c:v>12/2015</c:v>
                </c:pt>
                <c:pt idx="24">
                  <c:v>01/2016</c:v>
                </c:pt>
                <c:pt idx="25">
                  <c:v>02/2016</c:v>
                </c:pt>
                <c:pt idx="26">
                  <c:v>03/2016</c:v>
                </c:pt>
                <c:pt idx="27">
                  <c:v>04/2016</c:v>
                </c:pt>
                <c:pt idx="28">
                  <c:v>05/2016</c:v>
                </c:pt>
                <c:pt idx="29">
                  <c:v>06/2016</c:v>
                </c:pt>
                <c:pt idx="30">
                  <c:v>07/2016</c:v>
                </c:pt>
                <c:pt idx="31">
                  <c:v>08/2016</c:v>
                </c:pt>
                <c:pt idx="32">
                  <c:v>09/2016</c:v>
                </c:pt>
                <c:pt idx="33">
                  <c:v>10/2016</c:v>
                </c:pt>
                <c:pt idx="34">
                  <c:v>11/2016</c:v>
                </c:pt>
                <c:pt idx="35">
                  <c:v>12/2016</c:v>
                </c:pt>
                <c:pt idx="36">
                  <c:v>01/2017</c:v>
                </c:pt>
                <c:pt idx="37">
                  <c:v>02/2017</c:v>
                </c:pt>
                <c:pt idx="38">
                  <c:v>03/2017</c:v>
                </c:pt>
                <c:pt idx="39">
                  <c:v>04/2017</c:v>
                </c:pt>
                <c:pt idx="40">
                  <c:v>05/2017</c:v>
                </c:pt>
                <c:pt idx="41">
                  <c:v>06/2017</c:v>
                </c:pt>
                <c:pt idx="42">
                  <c:v>07/2017</c:v>
                </c:pt>
                <c:pt idx="43">
                  <c:v>08/2017</c:v>
                </c:pt>
                <c:pt idx="44">
                  <c:v>09/2017</c:v>
                </c:pt>
                <c:pt idx="45">
                  <c:v>10/2017</c:v>
                </c:pt>
                <c:pt idx="46">
                  <c:v>11/2017</c:v>
                </c:pt>
                <c:pt idx="47">
                  <c:v>12/2017</c:v>
                </c:pt>
                <c:pt idx="48">
                  <c:v>01/2018</c:v>
                </c:pt>
                <c:pt idx="49">
                  <c:v>02/2018</c:v>
                </c:pt>
                <c:pt idx="50">
                  <c:v>03/2018</c:v>
                </c:pt>
                <c:pt idx="51">
                  <c:v>04/2018</c:v>
                </c:pt>
                <c:pt idx="52">
                  <c:v>05/2018</c:v>
                </c:pt>
                <c:pt idx="53">
                  <c:v>06/2018</c:v>
                </c:pt>
                <c:pt idx="54">
                  <c:v>07/2018</c:v>
                </c:pt>
                <c:pt idx="55">
                  <c:v>08/2018</c:v>
                </c:pt>
                <c:pt idx="56">
                  <c:v>09/2018</c:v>
                </c:pt>
                <c:pt idx="57">
                  <c:v>10/2018</c:v>
                </c:pt>
              </c:strCache>
            </c:strRef>
          </c:cat>
          <c:val>
            <c:numRef>
              <c:f>Sheet1!$K$2:$K$59</c:f>
              <c:numCache>
                <c:formatCode>General</c:formatCode>
                <c:ptCount val="58"/>
                <c:pt idx="0">
                  <c:v>44311</c:v>
                </c:pt>
                <c:pt idx="1">
                  <c:v>47455</c:v>
                </c:pt>
                <c:pt idx="2">
                  <c:v>51571</c:v>
                </c:pt>
                <c:pt idx="3">
                  <c:v>48356</c:v>
                </c:pt>
                <c:pt idx="4">
                  <c:v>52783</c:v>
                </c:pt>
                <c:pt idx="5">
                  <c:v>48012</c:v>
                </c:pt>
                <c:pt idx="6">
                  <c:v>50437</c:v>
                </c:pt>
                <c:pt idx="7">
                  <c:v>50812</c:v>
                </c:pt>
                <c:pt idx="8">
                  <c:v>50691</c:v>
                </c:pt>
                <c:pt idx="9">
                  <c:v>52107</c:v>
                </c:pt>
                <c:pt idx="10">
                  <c:v>50076</c:v>
                </c:pt>
                <c:pt idx="11">
                  <c:v>49068</c:v>
                </c:pt>
                <c:pt idx="12">
                  <c:v>43292</c:v>
                </c:pt>
                <c:pt idx="13">
                  <c:v>47532</c:v>
                </c:pt>
                <c:pt idx="14">
                  <c:v>53222</c:v>
                </c:pt>
                <c:pt idx="15">
                  <c:v>48545</c:v>
                </c:pt>
                <c:pt idx="16">
                  <c:v>52439</c:v>
                </c:pt>
                <c:pt idx="17">
                  <c:v>48322</c:v>
                </c:pt>
                <c:pt idx="18">
                  <c:v>50124</c:v>
                </c:pt>
                <c:pt idx="19">
                  <c:v>50126</c:v>
                </c:pt>
                <c:pt idx="20">
                  <c:v>49552</c:v>
                </c:pt>
                <c:pt idx="21">
                  <c:v>50732</c:v>
                </c:pt>
                <c:pt idx="22">
                  <c:v>50193</c:v>
                </c:pt>
                <c:pt idx="23">
                  <c:v>48672</c:v>
                </c:pt>
                <c:pt idx="24">
                  <c:v>40841</c:v>
                </c:pt>
                <c:pt idx="25">
                  <c:v>48579</c:v>
                </c:pt>
                <c:pt idx="26">
                  <c:v>51538</c:v>
                </c:pt>
                <c:pt idx="27">
                  <c:v>48563</c:v>
                </c:pt>
                <c:pt idx="28">
                  <c:v>51798</c:v>
                </c:pt>
                <c:pt idx="29">
                  <c:v>47868</c:v>
                </c:pt>
                <c:pt idx="30">
                  <c:v>50766</c:v>
                </c:pt>
                <c:pt idx="31">
                  <c:v>54241</c:v>
                </c:pt>
                <c:pt idx="32">
                  <c:v>51521</c:v>
                </c:pt>
                <c:pt idx="33">
                  <c:v>45238</c:v>
                </c:pt>
                <c:pt idx="34">
                  <c:v>53765</c:v>
                </c:pt>
                <c:pt idx="35">
                  <c:v>46703</c:v>
                </c:pt>
                <c:pt idx="36">
                  <c:v>44242</c:v>
                </c:pt>
                <c:pt idx="37">
                  <c:v>49307</c:v>
                </c:pt>
                <c:pt idx="38">
                  <c:v>55330</c:v>
                </c:pt>
                <c:pt idx="39">
                  <c:v>48678</c:v>
                </c:pt>
                <c:pt idx="40">
                  <c:v>56450</c:v>
                </c:pt>
                <c:pt idx="41">
                  <c:v>53210</c:v>
                </c:pt>
                <c:pt idx="42">
                  <c:v>54319</c:v>
                </c:pt>
                <c:pt idx="43">
                  <c:v>55865</c:v>
                </c:pt>
                <c:pt idx="44">
                  <c:v>51787</c:v>
                </c:pt>
                <c:pt idx="45">
                  <c:v>54115</c:v>
                </c:pt>
                <c:pt idx="46">
                  <c:v>55105</c:v>
                </c:pt>
                <c:pt idx="47">
                  <c:v>52080</c:v>
                </c:pt>
                <c:pt idx="48">
                  <c:v>47087</c:v>
                </c:pt>
                <c:pt idx="49">
                  <c:v>49609</c:v>
                </c:pt>
                <c:pt idx="50">
                  <c:v>55364</c:v>
                </c:pt>
                <c:pt idx="51">
                  <c:v>51860</c:v>
                </c:pt>
                <c:pt idx="52">
                  <c:v>57646</c:v>
                </c:pt>
                <c:pt idx="53">
                  <c:v>51931</c:v>
                </c:pt>
                <c:pt idx="54">
                  <c:v>54059</c:v>
                </c:pt>
                <c:pt idx="55">
                  <c:v>56485</c:v>
                </c:pt>
                <c:pt idx="56">
                  <c:v>52990</c:v>
                </c:pt>
                <c:pt idx="57">
                  <c:v>55098</c:v>
                </c:pt>
              </c:numCache>
            </c:numRef>
          </c:val>
          <c:smooth val="0"/>
        </c:ser>
        <c:ser>
          <c:idx val="1"/>
          <c:order val="1"/>
          <c:tx>
            <c:v>M40 Trips</c:v>
          </c:tx>
          <c:marker>
            <c:symbol val="none"/>
          </c:marker>
          <c:cat>
            <c:strRef>
              <c:f>Sheet1!$B$2:$B$59</c:f>
              <c:strCache>
                <c:ptCount val="58"/>
                <c:pt idx="0">
                  <c:v>01/2014</c:v>
                </c:pt>
                <c:pt idx="1">
                  <c:v>02/2014</c:v>
                </c:pt>
                <c:pt idx="2">
                  <c:v>03/2014</c:v>
                </c:pt>
                <c:pt idx="3">
                  <c:v>04/2014</c:v>
                </c:pt>
                <c:pt idx="4">
                  <c:v>05/2014</c:v>
                </c:pt>
                <c:pt idx="5">
                  <c:v>06/2014</c:v>
                </c:pt>
                <c:pt idx="6">
                  <c:v>07/2014</c:v>
                </c:pt>
                <c:pt idx="7">
                  <c:v>08/2014</c:v>
                </c:pt>
                <c:pt idx="8">
                  <c:v>09/2014</c:v>
                </c:pt>
                <c:pt idx="9">
                  <c:v>10/2014</c:v>
                </c:pt>
                <c:pt idx="10">
                  <c:v>11/2014</c:v>
                </c:pt>
                <c:pt idx="11">
                  <c:v>12/2014</c:v>
                </c:pt>
                <c:pt idx="12">
                  <c:v>01/2015</c:v>
                </c:pt>
                <c:pt idx="13">
                  <c:v>02/2015</c:v>
                </c:pt>
                <c:pt idx="14">
                  <c:v>03/2015</c:v>
                </c:pt>
                <c:pt idx="15">
                  <c:v>04/2015</c:v>
                </c:pt>
                <c:pt idx="16">
                  <c:v>05/2015</c:v>
                </c:pt>
                <c:pt idx="17">
                  <c:v>06/2015</c:v>
                </c:pt>
                <c:pt idx="18">
                  <c:v>07/2015</c:v>
                </c:pt>
                <c:pt idx="19">
                  <c:v>08/2015</c:v>
                </c:pt>
                <c:pt idx="20">
                  <c:v>09/2015</c:v>
                </c:pt>
                <c:pt idx="21">
                  <c:v>10/2015</c:v>
                </c:pt>
                <c:pt idx="22">
                  <c:v>11/2015</c:v>
                </c:pt>
                <c:pt idx="23">
                  <c:v>12/2015</c:v>
                </c:pt>
                <c:pt idx="24">
                  <c:v>01/2016</c:v>
                </c:pt>
                <c:pt idx="25">
                  <c:v>02/2016</c:v>
                </c:pt>
                <c:pt idx="26">
                  <c:v>03/2016</c:v>
                </c:pt>
                <c:pt idx="27">
                  <c:v>04/2016</c:v>
                </c:pt>
                <c:pt idx="28">
                  <c:v>05/2016</c:v>
                </c:pt>
                <c:pt idx="29">
                  <c:v>06/2016</c:v>
                </c:pt>
                <c:pt idx="30">
                  <c:v>07/2016</c:v>
                </c:pt>
                <c:pt idx="31">
                  <c:v>08/2016</c:v>
                </c:pt>
                <c:pt idx="32">
                  <c:v>09/2016</c:v>
                </c:pt>
                <c:pt idx="33">
                  <c:v>10/2016</c:v>
                </c:pt>
                <c:pt idx="34">
                  <c:v>11/2016</c:v>
                </c:pt>
                <c:pt idx="35">
                  <c:v>12/2016</c:v>
                </c:pt>
                <c:pt idx="36">
                  <c:v>01/2017</c:v>
                </c:pt>
                <c:pt idx="37">
                  <c:v>02/2017</c:v>
                </c:pt>
                <c:pt idx="38">
                  <c:v>03/2017</c:v>
                </c:pt>
                <c:pt idx="39">
                  <c:v>04/2017</c:v>
                </c:pt>
                <c:pt idx="40">
                  <c:v>05/2017</c:v>
                </c:pt>
                <c:pt idx="41">
                  <c:v>06/2017</c:v>
                </c:pt>
                <c:pt idx="42">
                  <c:v>07/2017</c:v>
                </c:pt>
                <c:pt idx="43">
                  <c:v>08/2017</c:v>
                </c:pt>
                <c:pt idx="44">
                  <c:v>09/2017</c:v>
                </c:pt>
                <c:pt idx="45">
                  <c:v>10/2017</c:v>
                </c:pt>
                <c:pt idx="46">
                  <c:v>11/2017</c:v>
                </c:pt>
                <c:pt idx="47">
                  <c:v>12/2017</c:v>
                </c:pt>
                <c:pt idx="48">
                  <c:v>01/2018</c:v>
                </c:pt>
                <c:pt idx="49">
                  <c:v>02/2018</c:v>
                </c:pt>
                <c:pt idx="50">
                  <c:v>03/2018</c:v>
                </c:pt>
                <c:pt idx="51">
                  <c:v>04/2018</c:v>
                </c:pt>
                <c:pt idx="52">
                  <c:v>05/2018</c:v>
                </c:pt>
                <c:pt idx="53">
                  <c:v>06/2018</c:v>
                </c:pt>
                <c:pt idx="54">
                  <c:v>07/2018</c:v>
                </c:pt>
                <c:pt idx="55">
                  <c:v>08/2018</c:v>
                </c:pt>
                <c:pt idx="56">
                  <c:v>09/2018</c:v>
                </c:pt>
                <c:pt idx="57">
                  <c:v>10/2018</c:v>
                </c:pt>
              </c:strCache>
            </c:strRef>
          </c:cat>
          <c:val>
            <c:numRef>
              <c:f>Sheet1!$A$2:$A$59</c:f>
              <c:numCache>
                <c:formatCode>General</c:formatCode>
                <c:ptCount val="58"/>
                <c:pt idx="0">
                  <c:v>111263</c:v>
                </c:pt>
                <c:pt idx="1">
                  <c:v>112868</c:v>
                </c:pt>
                <c:pt idx="2">
                  <c:v>121523</c:v>
                </c:pt>
                <c:pt idx="3">
                  <c:v>114691</c:v>
                </c:pt>
                <c:pt idx="4">
                  <c:v>123816</c:v>
                </c:pt>
                <c:pt idx="5">
                  <c:v>113438</c:v>
                </c:pt>
                <c:pt idx="6">
                  <c:v>119825</c:v>
                </c:pt>
                <c:pt idx="7">
                  <c:v>116330</c:v>
                </c:pt>
                <c:pt idx="8">
                  <c:v>116360</c:v>
                </c:pt>
                <c:pt idx="9">
                  <c:v>122112</c:v>
                </c:pt>
                <c:pt idx="10">
                  <c:v>116376</c:v>
                </c:pt>
                <c:pt idx="11">
                  <c:v>114262</c:v>
                </c:pt>
                <c:pt idx="12">
                  <c:v>105949</c:v>
                </c:pt>
                <c:pt idx="13">
                  <c:v>109561</c:v>
                </c:pt>
                <c:pt idx="14">
                  <c:v>120075</c:v>
                </c:pt>
                <c:pt idx="15">
                  <c:v>108574</c:v>
                </c:pt>
                <c:pt idx="16">
                  <c:v>117469</c:v>
                </c:pt>
                <c:pt idx="17">
                  <c:v>111783</c:v>
                </c:pt>
                <c:pt idx="18">
                  <c:v>114976</c:v>
                </c:pt>
                <c:pt idx="19">
                  <c:v>113272</c:v>
                </c:pt>
                <c:pt idx="20">
                  <c:v>112794</c:v>
                </c:pt>
                <c:pt idx="21">
                  <c:v>115601</c:v>
                </c:pt>
                <c:pt idx="22">
                  <c:v>112903</c:v>
                </c:pt>
                <c:pt idx="23">
                  <c:v>110096</c:v>
                </c:pt>
                <c:pt idx="24">
                  <c:v>97872</c:v>
                </c:pt>
                <c:pt idx="25">
                  <c:v>111389</c:v>
                </c:pt>
                <c:pt idx="26">
                  <c:v>115341</c:v>
                </c:pt>
                <c:pt idx="27">
                  <c:v>111393</c:v>
                </c:pt>
                <c:pt idx="28">
                  <c:v>114706</c:v>
                </c:pt>
                <c:pt idx="29">
                  <c:v>109591</c:v>
                </c:pt>
                <c:pt idx="30">
                  <c:v>113267</c:v>
                </c:pt>
                <c:pt idx="31">
                  <c:v>118789</c:v>
                </c:pt>
                <c:pt idx="32">
                  <c:v>112474</c:v>
                </c:pt>
                <c:pt idx="33">
                  <c:v>95051</c:v>
                </c:pt>
                <c:pt idx="34">
                  <c:v>120077</c:v>
                </c:pt>
                <c:pt idx="35">
                  <c:v>102947</c:v>
                </c:pt>
                <c:pt idx="36">
                  <c:v>102539</c:v>
                </c:pt>
                <c:pt idx="37">
                  <c:v>108151</c:v>
                </c:pt>
                <c:pt idx="38">
                  <c:v>120830</c:v>
                </c:pt>
                <c:pt idx="39">
                  <c:v>105772</c:v>
                </c:pt>
                <c:pt idx="40">
                  <c:v>120712</c:v>
                </c:pt>
                <c:pt idx="41">
                  <c:v>112621</c:v>
                </c:pt>
                <c:pt idx="42">
                  <c:v>111157</c:v>
                </c:pt>
                <c:pt idx="43">
                  <c:v>115870</c:v>
                </c:pt>
                <c:pt idx="44">
                  <c:v>109065</c:v>
                </c:pt>
                <c:pt idx="45">
                  <c:v>112732</c:v>
                </c:pt>
                <c:pt idx="46">
                  <c:v>114112</c:v>
                </c:pt>
                <c:pt idx="47">
                  <c:v>106402</c:v>
                </c:pt>
                <c:pt idx="48">
                  <c:v>100630</c:v>
                </c:pt>
                <c:pt idx="49">
                  <c:v>103261</c:v>
                </c:pt>
                <c:pt idx="50">
                  <c:v>112584</c:v>
                </c:pt>
                <c:pt idx="51">
                  <c:v>102563</c:v>
                </c:pt>
                <c:pt idx="52">
                  <c:v>114805</c:v>
                </c:pt>
                <c:pt idx="53">
                  <c:v>102323</c:v>
                </c:pt>
                <c:pt idx="54">
                  <c:v>105249</c:v>
                </c:pt>
                <c:pt idx="55">
                  <c:v>110664</c:v>
                </c:pt>
                <c:pt idx="56">
                  <c:v>99672</c:v>
                </c:pt>
                <c:pt idx="57">
                  <c:v>103674</c:v>
                </c:pt>
              </c:numCache>
            </c:numRef>
          </c:val>
          <c:smooth val="0"/>
        </c:ser>
        <c:dLbls>
          <c:showLegendKey val="0"/>
          <c:showVal val="0"/>
          <c:showCatName val="0"/>
          <c:showSerName val="0"/>
          <c:showPercent val="0"/>
          <c:showBubbleSize val="0"/>
        </c:dLbls>
        <c:marker val="1"/>
        <c:smooth val="0"/>
        <c:axId val="212480208"/>
        <c:axId val="212480600"/>
      </c:lineChart>
      <c:catAx>
        <c:axId val="212480208"/>
        <c:scaling>
          <c:orientation val="minMax"/>
        </c:scaling>
        <c:delete val="0"/>
        <c:axPos val="b"/>
        <c:majorTickMark val="out"/>
        <c:minorTickMark val="none"/>
        <c:tickLblPos val="nextTo"/>
        <c:crossAx val="212480600"/>
        <c:crosses val="autoZero"/>
        <c:auto val="1"/>
        <c:lblAlgn val="ctr"/>
        <c:lblOffset val="100"/>
        <c:noMultiLvlLbl val="0"/>
      </c:catAx>
      <c:valAx>
        <c:axId val="212480600"/>
        <c:scaling>
          <c:orientation val="minMax"/>
        </c:scaling>
        <c:delete val="0"/>
        <c:axPos val="l"/>
        <c:majorGridlines/>
        <c:numFmt formatCode="General" sourceLinked="1"/>
        <c:majorTickMark val="out"/>
        <c:minorTickMark val="none"/>
        <c:tickLblPos val="nextTo"/>
        <c:crossAx val="212480208"/>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B6A074-B14F-40B1-BEC6-1D0B1164D87E}">
  <ds:schemaRefs>
    <ds:schemaRef ds:uri="http://schemas.openxmlformats.org/officeDocument/2006/bibliography"/>
  </ds:schemaRefs>
</ds:datastoreItem>
</file>

<file path=customXml/itemProps2.xml><?xml version="1.0" encoding="utf-8"?>
<ds:datastoreItem xmlns:ds="http://schemas.openxmlformats.org/officeDocument/2006/customXml" ds:itemID="{21E963F6-FA70-4363-9C49-112221F59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7687</Words>
  <Characters>43822</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Document title - Subtitle</vt:lpstr>
    </vt:vector>
  </TitlesOfParts>
  <Company>Transport for NSW</Company>
  <LinksUpToDate>false</LinksUpToDate>
  <CharactersWithSpaces>51407</CharactersWithSpaces>
  <SharedDoc>false</SharedDoc>
  <HyperlinkBase/>
  <HLinks>
    <vt:vector size="48" baseType="variant">
      <vt:variant>
        <vt:i4>1114173</vt:i4>
      </vt:variant>
      <vt:variant>
        <vt:i4>121</vt:i4>
      </vt:variant>
      <vt:variant>
        <vt:i4>0</vt:i4>
      </vt:variant>
      <vt:variant>
        <vt:i4>5</vt:i4>
      </vt:variant>
      <vt:variant>
        <vt:lpwstr/>
      </vt:variant>
      <vt:variant>
        <vt:lpwstr>_Toc238634470</vt:lpwstr>
      </vt:variant>
      <vt:variant>
        <vt:i4>1048637</vt:i4>
      </vt:variant>
      <vt:variant>
        <vt:i4>112</vt:i4>
      </vt:variant>
      <vt:variant>
        <vt:i4>0</vt:i4>
      </vt:variant>
      <vt:variant>
        <vt:i4>5</vt:i4>
      </vt:variant>
      <vt:variant>
        <vt:lpwstr/>
      </vt:variant>
      <vt:variant>
        <vt:lpwstr>_Toc238634465</vt:lpwstr>
      </vt:variant>
      <vt:variant>
        <vt:i4>1048637</vt:i4>
      </vt:variant>
      <vt:variant>
        <vt:i4>106</vt:i4>
      </vt:variant>
      <vt:variant>
        <vt:i4>0</vt:i4>
      </vt:variant>
      <vt:variant>
        <vt:i4>5</vt:i4>
      </vt:variant>
      <vt:variant>
        <vt:lpwstr/>
      </vt:variant>
      <vt:variant>
        <vt:lpwstr>_Toc238634464</vt:lpwstr>
      </vt:variant>
      <vt:variant>
        <vt:i4>1048637</vt:i4>
      </vt:variant>
      <vt:variant>
        <vt:i4>97</vt:i4>
      </vt:variant>
      <vt:variant>
        <vt:i4>0</vt:i4>
      </vt:variant>
      <vt:variant>
        <vt:i4>5</vt:i4>
      </vt:variant>
      <vt:variant>
        <vt:lpwstr/>
      </vt:variant>
      <vt:variant>
        <vt:lpwstr>_Toc238634461</vt:lpwstr>
      </vt:variant>
      <vt:variant>
        <vt:i4>1245245</vt:i4>
      </vt:variant>
      <vt:variant>
        <vt:i4>88</vt:i4>
      </vt:variant>
      <vt:variant>
        <vt:i4>0</vt:i4>
      </vt:variant>
      <vt:variant>
        <vt:i4>5</vt:i4>
      </vt:variant>
      <vt:variant>
        <vt:lpwstr/>
      </vt:variant>
      <vt:variant>
        <vt:lpwstr>_Toc238634459</vt:lpwstr>
      </vt:variant>
      <vt:variant>
        <vt:i4>1245245</vt:i4>
      </vt:variant>
      <vt:variant>
        <vt:i4>82</vt:i4>
      </vt:variant>
      <vt:variant>
        <vt:i4>0</vt:i4>
      </vt:variant>
      <vt:variant>
        <vt:i4>5</vt:i4>
      </vt:variant>
      <vt:variant>
        <vt:lpwstr/>
      </vt:variant>
      <vt:variant>
        <vt:lpwstr>_Toc238634458</vt:lpwstr>
      </vt:variant>
      <vt:variant>
        <vt:i4>1245245</vt:i4>
      </vt:variant>
      <vt:variant>
        <vt:i4>76</vt:i4>
      </vt:variant>
      <vt:variant>
        <vt:i4>0</vt:i4>
      </vt:variant>
      <vt:variant>
        <vt:i4>5</vt:i4>
      </vt:variant>
      <vt:variant>
        <vt:lpwstr/>
      </vt:variant>
      <vt:variant>
        <vt:lpwstr>_Toc238634457</vt:lpwstr>
      </vt:variant>
      <vt:variant>
        <vt:i4>1245245</vt:i4>
      </vt:variant>
      <vt:variant>
        <vt:i4>70</vt:i4>
      </vt:variant>
      <vt:variant>
        <vt:i4>0</vt:i4>
      </vt:variant>
      <vt:variant>
        <vt:i4>5</vt:i4>
      </vt:variant>
      <vt:variant>
        <vt:lpwstr/>
      </vt:variant>
      <vt:variant>
        <vt:lpwstr>_Toc238634456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 Subtitle</dc:title>
  <dc:creator>Rao, Rashmi</dc:creator>
  <cp:keywords>Objective reference</cp:keywords>
  <dc:description>Transport for NSW_x000d_Tel: 8202 2200  Fax: 8202 2209
18 Lee Street, Chippendale NSW 2008 _x000d_PO Box K659, Haymarket NSW 1240</dc:description>
  <cp:lastModifiedBy>Kevin Bertao</cp:lastModifiedBy>
  <cp:revision>2</cp:revision>
  <cp:lastPrinted>2020-02-24T06:44:00Z</cp:lastPrinted>
  <dcterms:created xsi:type="dcterms:W3CDTF">2020-03-25T01:43:00Z</dcterms:created>
  <dcterms:modified xsi:type="dcterms:W3CDTF">2020-03-25T01:43:00Z</dcterms:modified>
  <cp:category>Classification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Draft</vt:lpwstr>
  </property>
  <property fmtid="{D5CDD505-2E9C-101B-9397-08002B2CF9AE}" pid="3" name="Objective-Comment">
    <vt:lpwstr/>
  </property>
  <property fmtid="{D5CDD505-2E9C-101B-9397-08002B2CF9AE}" pid="4" name="Objective-CreationStamp">
    <vt:filetime>2020-02-24T06:39:54Z</vt:filetime>
  </property>
  <property fmtid="{D5CDD505-2E9C-101B-9397-08002B2CF9AE}" pid="5" name="Objective-Id">
    <vt:lpwstr>A8722483</vt:lpwstr>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2020-02-25T05:28:26Z</vt:filetime>
  </property>
  <property fmtid="{D5CDD505-2E9C-101B-9397-08002B2CF9AE}" pid="10" name="Objective-Owner">
    <vt:lpwstr>Peta Margrie</vt:lpwstr>
  </property>
  <property fmtid="{D5CDD505-2E9C-101B-9397-08002B2CF9AE}" pid="11" name="Objective-Path">
    <vt:lpwstr>Objective Global Folder:Transport for NSW File Plan (For assistance email: tss.infoservices@transport.nsw.gov.au):Freight, Strategy &amp; Planning:Transport Policy:Transport Social Policy:06/B - Concessions &amp; Social Access Policy:Taxi Disability Incentives &amp; </vt:lpwstr>
  </property>
  <property fmtid="{D5CDD505-2E9C-101B-9397-08002B2CF9AE}" pid="12" name="Objective-Parent">
    <vt:lpwstr>18/009353 - Report and Recommendations</vt:lpwstr>
  </property>
  <property fmtid="{D5CDD505-2E9C-101B-9397-08002B2CF9AE}" pid="13" name="Objective-State">
    <vt:lpwstr>Being Drafted</vt:lpwstr>
  </property>
  <property fmtid="{D5CDD505-2E9C-101B-9397-08002B2CF9AE}" pid="14" name="Objective-Title">
    <vt:lpwstr>Final TDIS Review For Stakeholder Distribution 2020</vt:lpwstr>
  </property>
  <property fmtid="{D5CDD505-2E9C-101B-9397-08002B2CF9AE}" pid="15" name="Objective-Version">
    <vt:lpwstr>0.3</vt:lpwstr>
  </property>
  <property fmtid="{D5CDD505-2E9C-101B-9397-08002B2CF9AE}" pid="16" name="Objective-VersionComment">
    <vt:lpwstr/>
  </property>
  <property fmtid="{D5CDD505-2E9C-101B-9397-08002B2CF9AE}" pid="17" name="Objective-VersionNumber">
    <vt:r8>3</vt:r8>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PTTC Object ID">
    <vt:lpwstr/>
  </property>
  <property fmtid="{D5CDD505-2E9C-101B-9397-08002B2CF9AE}" pid="22" name="Objective-Document Type [system]">
    <vt:lpwstr/>
  </property>
  <property fmtid="{D5CDD505-2E9C-101B-9397-08002B2CF9AE}" pid="23" name="Objective-Author Name [system]">
    <vt:lpwstr/>
  </property>
  <property fmtid="{D5CDD505-2E9C-101B-9397-08002B2CF9AE}" pid="24" name="Objective-Author Date [system]">
    <vt:lpwstr/>
  </property>
  <property fmtid="{D5CDD505-2E9C-101B-9397-08002B2CF9AE}" pid="25" name="Objective-Correspondence Type [system]">
    <vt:lpwstr/>
  </property>
  <property fmtid="{D5CDD505-2E9C-101B-9397-08002B2CF9AE}" pid="26" name="Objective-Document Description [system]">
    <vt:lpwstr/>
  </property>
  <property fmtid="{D5CDD505-2E9C-101B-9397-08002B2CF9AE}" pid="27" name="Objective-Sender's Reference [system]">
    <vt:lpwstr/>
  </property>
  <property fmtid="{D5CDD505-2E9C-101B-9397-08002B2CF9AE}" pid="28" name="Objective-Agency/Division Assigned [system]">
    <vt:lpwstr/>
  </property>
  <property fmtid="{D5CDD505-2E9C-101B-9397-08002B2CF9AE}" pid="29" name="Objective-Recipient [system]">
    <vt:lpwstr/>
  </property>
  <property fmtid="{D5CDD505-2E9C-101B-9397-08002B2CF9AE}" pid="30" name="Objective-TNSW Response Due Date [system]">
    <vt:lpwstr/>
  </property>
  <property fmtid="{D5CDD505-2E9C-101B-9397-08002B2CF9AE}" pid="31" name="Objective-TNSW Response Sent Date [system]">
    <vt:lpwstr/>
  </property>
  <property fmtid="{D5CDD505-2E9C-101B-9397-08002B2CF9AE}" pid="32" name="Objective-Reply to TNSW Due Date [system]">
    <vt:lpwstr/>
  </property>
  <property fmtid="{D5CDD505-2E9C-101B-9397-08002B2CF9AE}" pid="33" name="Objective-Reply to TNSW Received Date [system]">
    <vt:lpwstr/>
  </property>
  <property fmtid="{D5CDD505-2E9C-101B-9397-08002B2CF9AE}" pid="34" name="Objective-TfNSW Response Due Date [system]">
    <vt:lpwstr/>
  </property>
  <property fmtid="{D5CDD505-2E9C-101B-9397-08002B2CF9AE}" pid="35" name="Objective-TfNSW Response Sent Date [system]">
    <vt:lpwstr/>
  </property>
  <property fmtid="{D5CDD505-2E9C-101B-9397-08002B2CF9AE}" pid="36" name="_NewReviewCycle">
    <vt:lpwstr/>
  </property>
  <property fmtid="{D5CDD505-2E9C-101B-9397-08002B2CF9AE}" pid="37" name="Objective-Dissemination Limiting Marker (DLM) [system]">
    <vt:lpwstr/>
  </property>
</Properties>
</file>